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FC7CC" w14:textId="77777777" w:rsidR="00147F14" w:rsidRDefault="00147F14" w:rsidP="001F5101">
      <w:pPr>
        <w:rPr>
          <w:rFonts w:ascii="Arial" w:hAnsi="Arial" w:cs="Arial"/>
          <w:lang w:val="en-US"/>
        </w:rPr>
      </w:pPr>
      <w:r>
        <w:rPr>
          <w:rFonts w:ascii="Arial" w:hAnsi="Arial" w:cs="Arial"/>
          <w:b/>
          <w:bCs/>
          <w:highlight w:val="yellow"/>
          <w:lang w:val="en-US"/>
        </w:rPr>
        <w:t xml:space="preserve">Member </w:t>
      </w:r>
      <w:r w:rsidR="00DF0B1D" w:rsidRPr="00DF0B1D">
        <w:rPr>
          <w:rFonts w:ascii="Arial" w:hAnsi="Arial" w:cs="Arial"/>
          <w:b/>
          <w:bCs/>
          <w:highlight w:val="yellow"/>
          <w:lang w:val="en-US"/>
        </w:rPr>
        <w:t>Note:</w:t>
      </w:r>
      <w:r w:rsidR="00DF0B1D">
        <w:rPr>
          <w:rFonts w:ascii="Arial" w:hAnsi="Arial" w:cs="Arial"/>
          <w:lang w:val="en-US"/>
        </w:rPr>
        <w:t xml:space="preserve"> </w:t>
      </w:r>
    </w:p>
    <w:p w14:paraId="4E8F6567" w14:textId="77777777" w:rsidR="002C6B06" w:rsidRDefault="004F2A98" w:rsidP="001F5101">
      <w:pPr>
        <w:rPr>
          <w:rFonts w:ascii="Arial" w:hAnsi="Arial" w:cs="Arial"/>
          <w:lang w:val="en-US"/>
        </w:rPr>
      </w:pPr>
      <w:r w:rsidRPr="001F5101">
        <w:rPr>
          <w:rFonts w:ascii="Arial" w:hAnsi="Arial" w:cs="Arial"/>
          <w:lang w:val="en-US"/>
        </w:rPr>
        <w:t xml:space="preserve">This </w:t>
      </w:r>
      <w:r w:rsidR="00555D95" w:rsidRPr="001F5101">
        <w:rPr>
          <w:rFonts w:ascii="Arial" w:hAnsi="Arial" w:cs="Arial"/>
          <w:lang w:val="en-US"/>
        </w:rPr>
        <w:t>s</w:t>
      </w:r>
      <w:r w:rsidRPr="001F5101">
        <w:rPr>
          <w:rFonts w:ascii="Arial" w:hAnsi="Arial" w:cs="Arial"/>
          <w:lang w:val="en-US"/>
        </w:rPr>
        <w:t xml:space="preserve">ubmission </w:t>
      </w:r>
      <w:r w:rsidR="00555D95" w:rsidRPr="001F5101">
        <w:rPr>
          <w:rFonts w:ascii="Arial" w:hAnsi="Arial" w:cs="Arial"/>
          <w:lang w:val="en-US"/>
        </w:rPr>
        <w:t xml:space="preserve">template </w:t>
      </w:r>
      <w:r w:rsidRPr="001F5101">
        <w:rPr>
          <w:rFonts w:ascii="Arial" w:hAnsi="Arial" w:cs="Arial"/>
          <w:lang w:val="en-US"/>
        </w:rPr>
        <w:t xml:space="preserve">has been developed to support AFGC members with </w:t>
      </w:r>
      <w:r w:rsidR="00F41EA6" w:rsidRPr="001F5101">
        <w:rPr>
          <w:rFonts w:ascii="Arial" w:hAnsi="Arial" w:cs="Arial"/>
          <w:lang w:val="en-US"/>
        </w:rPr>
        <w:t xml:space="preserve">submitting to the </w:t>
      </w:r>
      <w:r w:rsidR="00D10892" w:rsidRPr="001F5101">
        <w:rPr>
          <w:rFonts w:ascii="Arial" w:hAnsi="Arial" w:cs="Arial"/>
          <w:lang w:val="en-US"/>
        </w:rPr>
        <w:t>Department of Climate Change, the Environment</w:t>
      </w:r>
      <w:r w:rsidR="006605AF" w:rsidRPr="001F5101">
        <w:rPr>
          <w:rFonts w:ascii="Arial" w:hAnsi="Arial" w:cs="Arial"/>
          <w:lang w:val="en-US"/>
        </w:rPr>
        <w:t xml:space="preserve">, Energy </w:t>
      </w:r>
      <w:r w:rsidR="006B18A9" w:rsidRPr="001F5101">
        <w:rPr>
          <w:rFonts w:ascii="Arial" w:hAnsi="Arial" w:cs="Arial"/>
          <w:lang w:val="en-US"/>
        </w:rPr>
        <w:t xml:space="preserve">and Water (DCCEEW) </w:t>
      </w:r>
      <w:hyperlink r:id="rId9" w:history="1">
        <w:r w:rsidR="004B0C77" w:rsidRPr="001F5101">
          <w:rPr>
            <w:rStyle w:val="Hyperlink"/>
            <w:rFonts w:ascii="Arial" w:hAnsi="Arial" w:cs="Arial"/>
            <w:lang w:val="en-US"/>
          </w:rPr>
          <w:t>Packaging Reform Consultation</w:t>
        </w:r>
      </w:hyperlink>
      <w:r w:rsidR="004B0C77" w:rsidRPr="001F5101">
        <w:rPr>
          <w:rFonts w:ascii="Arial" w:hAnsi="Arial" w:cs="Arial"/>
          <w:lang w:val="en-US"/>
        </w:rPr>
        <w:t xml:space="preserve">. </w:t>
      </w:r>
      <w:r w:rsidR="00656C87" w:rsidRPr="001F5101">
        <w:rPr>
          <w:rFonts w:ascii="Arial" w:hAnsi="Arial" w:cs="Arial"/>
          <w:lang w:val="en-US"/>
        </w:rPr>
        <w:t>The consultation closes on </w:t>
      </w:r>
      <w:r w:rsidR="00AF22A2" w:rsidRPr="001F5101">
        <w:rPr>
          <w:rFonts w:ascii="Arial" w:hAnsi="Arial" w:cs="Arial"/>
          <w:lang w:val="en-US"/>
        </w:rPr>
        <w:t>28 October 2024</w:t>
      </w:r>
      <w:r w:rsidR="009604C9" w:rsidRPr="001F5101">
        <w:rPr>
          <w:rFonts w:ascii="Arial" w:hAnsi="Arial" w:cs="Arial"/>
          <w:lang w:val="en-US"/>
        </w:rPr>
        <w:t xml:space="preserve">. </w:t>
      </w:r>
    </w:p>
    <w:p w14:paraId="7F47E124" w14:textId="04FF3B37" w:rsidR="001F5101" w:rsidRPr="001F5101" w:rsidRDefault="004B0A4B" w:rsidP="001F5101">
      <w:r w:rsidRPr="001F5101">
        <w:rPr>
          <w:rFonts w:ascii="Arial" w:hAnsi="Arial" w:cs="Arial"/>
          <w:lang w:val="en-US"/>
        </w:rPr>
        <w:t>T</w:t>
      </w:r>
      <w:r w:rsidR="009604C9" w:rsidRPr="001F5101">
        <w:rPr>
          <w:rFonts w:ascii="Arial" w:hAnsi="Arial" w:cs="Arial"/>
          <w:lang w:val="en-US"/>
        </w:rPr>
        <w:t xml:space="preserve">his document is </w:t>
      </w:r>
      <w:r w:rsidR="009604C9" w:rsidRPr="00DF0B1D">
        <w:rPr>
          <w:rFonts w:ascii="Arial" w:hAnsi="Arial" w:cs="Arial"/>
          <w:lang w:val="en-US"/>
        </w:rPr>
        <w:t>f</w:t>
      </w:r>
      <w:r w:rsidR="007A6F1E" w:rsidRPr="00DF0B1D">
        <w:rPr>
          <w:rFonts w:ascii="Arial" w:hAnsi="Arial" w:cs="Arial"/>
          <w:lang w:val="en-US"/>
        </w:rPr>
        <w:t>or AFGC Members</w:t>
      </w:r>
      <w:r w:rsidR="00044B5C" w:rsidRPr="00DF0B1D">
        <w:rPr>
          <w:rFonts w:ascii="Arial" w:hAnsi="Arial" w:cs="Arial"/>
          <w:lang w:val="en-US"/>
        </w:rPr>
        <w:t>'</w:t>
      </w:r>
      <w:r w:rsidR="007A6F1E" w:rsidRPr="00DF0B1D">
        <w:rPr>
          <w:rFonts w:ascii="Arial" w:hAnsi="Arial" w:cs="Arial"/>
          <w:lang w:val="en-US"/>
        </w:rPr>
        <w:t xml:space="preserve"> Use Only</w:t>
      </w:r>
      <w:r w:rsidR="009604C9" w:rsidRPr="001F5101">
        <w:rPr>
          <w:rFonts w:ascii="Arial" w:hAnsi="Arial" w:cs="Arial"/>
          <w:lang w:val="en-US"/>
        </w:rPr>
        <w:t xml:space="preserve"> and should n</w:t>
      </w:r>
      <w:r w:rsidR="0038036F" w:rsidRPr="001F5101">
        <w:rPr>
          <w:rFonts w:ascii="Arial" w:hAnsi="Arial" w:cs="Arial"/>
          <w:lang w:val="en-US"/>
        </w:rPr>
        <w:t xml:space="preserve">ot </w:t>
      </w:r>
      <w:r w:rsidR="00B521A4" w:rsidRPr="001F5101">
        <w:rPr>
          <w:rFonts w:ascii="Arial" w:hAnsi="Arial" w:cs="Arial"/>
          <w:lang w:val="en-US"/>
        </w:rPr>
        <w:t>be shared</w:t>
      </w:r>
      <w:r w:rsidR="0038036F" w:rsidRPr="001F5101">
        <w:rPr>
          <w:rFonts w:ascii="Arial" w:hAnsi="Arial" w:cs="Arial"/>
          <w:lang w:val="en-US"/>
        </w:rPr>
        <w:t xml:space="preserve"> </w:t>
      </w:r>
      <w:r w:rsidR="00656C87" w:rsidRPr="001F5101">
        <w:rPr>
          <w:rFonts w:ascii="Arial" w:hAnsi="Arial" w:cs="Arial"/>
          <w:lang w:val="en-US"/>
        </w:rPr>
        <w:t xml:space="preserve">beyond membership companies. </w:t>
      </w:r>
      <w:r w:rsidR="001F5101" w:rsidRPr="00DF0B1D">
        <w:rPr>
          <w:rFonts w:ascii="Arial" w:hAnsi="Arial" w:cs="Arial"/>
          <w:lang w:val="en-US"/>
        </w:rPr>
        <w:t xml:space="preserve">Whilst this template reflects the collective feedback from members, please feel free to adapt it to suit your organisation's feedback. </w:t>
      </w:r>
    </w:p>
    <w:p w14:paraId="53631AC5" w14:textId="77777777" w:rsidR="00656C87" w:rsidRPr="00A54C2F" w:rsidRDefault="00656C87" w:rsidP="00557645">
      <w:pPr>
        <w:rPr>
          <w:rFonts w:ascii="Arial" w:hAnsi="Arial" w:cs="Arial"/>
          <w:b/>
          <w:lang w:val="en-US"/>
        </w:rPr>
      </w:pPr>
    </w:p>
    <w:p w14:paraId="6538BF4D" w14:textId="2DACA5D8" w:rsidR="00BA2EA0" w:rsidRPr="00A54C2F" w:rsidRDefault="00BA2EA0" w:rsidP="00557645">
      <w:pPr>
        <w:rPr>
          <w:rFonts w:ascii="Arial" w:hAnsi="Arial" w:cs="Arial"/>
          <w:b/>
          <w:lang w:val="en-US"/>
        </w:rPr>
      </w:pPr>
      <w:r w:rsidRPr="00A54C2F">
        <w:rPr>
          <w:rFonts w:ascii="Arial" w:hAnsi="Arial" w:cs="Arial"/>
          <w:b/>
          <w:highlight w:val="yellow"/>
          <w:lang w:val="en-US"/>
        </w:rPr>
        <w:t>Insert Letterhead</w:t>
      </w:r>
    </w:p>
    <w:p w14:paraId="24E4A8BA" w14:textId="14B9ECFB" w:rsidR="00F8116B" w:rsidRPr="00A54C2F" w:rsidRDefault="00F8116B" w:rsidP="00F8116B">
      <w:pPr>
        <w:spacing w:before="60" w:after="60" w:line="240" w:lineRule="auto"/>
        <w:rPr>
          <w:rFonts w:ascii="Arial" w:hAnsi="Arial" w:cs="Arial"/>
          <w:lang w:val="en-AU"/>
          <w14:ligatures w14:val="none"/>
        </w:rPr>
      </w:pPr>
      <w:proofErr w:type="spellStart"/>
      <w:r w:rsidRPr="00A54C2F">
        <w:rPr>
          <w:rFonts w:ascii="Arial" w:hAnsi="Arial" w:cs="Arial"/>
          <w:highlight w:val="yellow"/>
          <w:lang w:val="en-AU"/>
          <w14:ligatures w14:val="none"/>
        </w:rPr>
        <w:t>Xx</w:t>
      </w:r>
      <w:proofErr w:type="spellEnd"/>
      <w:r w:rsidRPr="00A54C2F">
        <w:rPr>
          <w:rFonts w:ascii="Arial" w:hAnsi="Arial" w:cs="Arial"/>
          <w:lang w:val="en-AU"/>
          <w14:ligatures w14:val="none"/>
        </w:rPr>
        <w:t xml:space="preserve"> October 2024</w:t>
      </w:r>
    </w:p>
    <w:p w14:paraId="1F2AE1A7" w14:textId="77777777" w:rsidR="00F8116B" w:rsidRPr="00A54C2F" w:rsidRDefault="00F8116B" w:rsidP="00F8116B">
      <w:pPr>
        <w:spacing w:before="60" w:after="60" w:line="240" w:lineRule="auto"/>
        <w:rPr>
          <w:rFonts w:ascii="Arial" w:hAnsi="Arial" w:cs="Arial"/>
          <w:lang w:val="en-AU"/>
          <w14:ligatures w14:val="none"/>
        </w:rPr>
      </w:pPr>
    </w:p>
    <w:p w14:paraId="0346E4B5" w14:textId="0CC7BA85" w:rsidR="00F8116B" w:rsidRPr="00A54C2F" w:rsidRDefault="00F8116B" w:rsidP="00F8116B">
      <w:pPr>
        <w:spacing w:before="60" w:after="60" w:line="240" w:lineRule="auto"/>
        <w:rPr>
          <w:rFonts w:ascii="Arial" w:hAnsi="Arial" w:cs="Arial"/>
          <w:lang w:val="en-AU"/>
          <w14:ligatures w14:val="none"/>
        </w:rPr>
      </w:pPr>
      <w:r w:rsidRPr="00A54C2F">
        <w:rPr>
          <w:rFonts w:ascii="Arial" w:hAnsi="Arial" w:cs="Arial"/>
          <w:lang w:val="en-AU"/>
          <w14:ligatures w14:val="none"/>
        </w:rPr>
        <w:t>DCCEEW</w:t>
      </w:r>
    </w:p>
    <w:p w14:paraId="1B47540B" w14:textId="4663F1FA" w:rsidR="002B59BA" w:rsidRPr="00A54C2F" w:rsidRDefault="000B6280" w:rsidP="00F8116B">
      <w:pPr>
        <w:spacing w:before="60" w:after="60" w:line="240" w:lineRule="auto"/>
        <w:rPr>
          <w:rFonts w:ascii="Arial" w:hAnsi="Arial" w:cs="Arial"/>
          <w:lang w:val="en-AU"/>
          <w14:ligatures w14:val="none"/>
        </w:rPr>
      </w:pPr>
      <w:r w:rsidRPr="00A54C2F">
        <w:rPr>
          <w:rFonts w:ascii="Arial" w:hAnsi="Arial" w:cs="Arial"/>
          <w:lang w:val="en-AU"/>
          <w14:ligatures w14:val="none"/>
        </w:rPr>
        <w:t>Packaging Reform Taskforce</w:t>
      </w:r>
    </w:p>
    <w:p w14:paraId="63D891FD" w14:textId="0EAD0105" w:rsidR="00410CFD" w:rsidRPr="00A54C2F" w:rsidRDefault="00410CFD" w:rsidP="00F8116B">
      <w:pPr>
        <w:spacing w:before="60" w:after="60" w:line="240" w:lineRule="auto"/>
        <w:rPr>
          <w:rFonts w:ascii="Arial" w:hAnsi="Arial" w:cs="Arial"/>
          <w:lang w:val="en-AU"/>
          <w14:ligatures w14:val="none"/>
        </w:rPr>
      </w:pPr>
      <w:r w:rsidRPr="00A54C2F">
        <w:rPr>
          <w:rFonts w:ascii="Arial" w:hAnsi="Arial" w:cs="Arial"/>
          <w:lang w:val="en-AU"/>
          <w14:ligatures w14:val="none"/>
        </w:rPr>
        <w:t xml:space="preserve"> </w:t>
      </w:r>
    </w:p>
    <w:p w14:paraId="34CF80A9" w14:textId="77777777" w:rsidR="00410CFD" w:rsidRPr="001E0AF3" w:rsidRDefault="00410CFD" w:rsidP="00557645">
      <w:pPr>
        <w:rPr>
          <w:rFonts w:ascii="Arial" w:hAnsi="Arial" w:cs="Arial"/>
        </w:rPr>
      </w:pPr>
    </w:p>
    <w:p w14:paraId="2EA7DDD8" w14:textId="7AE7F1A5" w:rsidR="00557645" w:rsidRPr="001E0AF3" w:rsidRDefault="00557645" w:rsidP="00557645">
      <w:pPr>
        <w:rPr>
          <w:rFonts w:ascii="Arial" w:hAnsi="Arial" w:cs="Arial"/>
          <w:lang w:val="en-US"/>
        </w:rPr>
      </w:pPr>
      <w:r w:rsidRPr="001E0AF3">
        <w:rPr>
          <w:rFonts w:ascii="Arial" w:hAnsi="Arial" w:cs="Arial"/>
          <w:highlight w:val="yellow"/>
          <w:lang w:val="en-US"/>
        </w:rPr>
        <w:t>[Company Name]</w:t>
      </w:r>
      <w:r w:rsidRPr="001E0AF3">
        <w:rPr>
          <w:rFonts w:ascii="Arial" w:hAnsi="Arial" w:cs="Arial"/>
          <w:lang w:val="en-US"/>
        </w:rPr>
        <w:t xml:space="preserve"> welcomes the opportunity to submit to the Department of Climate Change, Energy, the Environment and Water (DCCEEW) consultation on reforming packaging regulation.</w:t>
      </w:r>
    </w:p>
    <w:p w14:paraId="73837A02" w14:textId="6FA47E30" w:rsidR="00557645" w:rsidRPr="001E0AF3" w:rsidRDefault="00557645" w:rsidP="00557645">
      <w:pPr>
        <w:rPr>
          <w:rFonts w:ascii="Arial" w:hAnsi="Arial" w:cs="Arial"/>
        </w:rPr>
      </w:pPr>
      <w:r w:rsidRPr="001E0AF3">
        <w:rPr>
          <w:rFonts w:ascii="Arial" w:hAnsi="Arial" w:cs="Arial"/>
        </w:rPr>
        <w:t xml:space="preserve">We recognise the significant impacts of packaging and </w:t>
      </w:r>
      <w:r w:rsidR="0053516B" w:rsidRPr="001E0AF3">
        <w:rPr>
          <w:rFonts w:ascii="Arial" w:hAnsi="Arial" w:cs="Arial"/>
        </w:rPr>
        <w:t>are</w:t>
      </w:r>
      <w:r w:rsidRPr="001E0AF3">
        <w:rPr>
          <w:rFonts w:ascii="Arial" w:hAnsi="Arial" w:cs="Arial"/>
        </w:rPr>
        <w:t xml:space="preserve"> committed to change as we strive for greater circularity in our value chains. It is essential to acknowledge that packaging is designed to protect food, drink, household and medicinal products in supply chains and the home, to minimise </w:t>
      </w:r>
      <w:r w:rsidR="00064700">
        <w:rPr>
          <w:rFonts w:ascii="Arial" w:hAnsi="Arial" w:cs="Arial"/>
        </w:rPr>
        <w:t>climate change impacts</w:t>
      </w:r>
      <w:r w:rsidR="007C735B">
        <w:rPr>
          <w:rFonts w:ascii="Arial" w:hAnsi="Arial" w:cs="Arial"/>
        </w:rPr>
        <w:t>,</w:t>
      </w:r>
      <w:r w:rsidR="00064700">
        <w:rPr>
          <w:rFonts w:ascii="Arial" w:hAnsi="Arial" w:cs="Arial"/>
        </w:rPr>
        <w:t xml:space="preserve"> </w:t>
      </w:r>
      <w:r w:rsidRPr="001E0AF3">
        <w:rPr>
          <w:rFonts w:ascii="Arial" w:hAnsi="Arial" w:cs="Arial"/>
        </w:rPr>
        <w:t xml:space="preserve">and </w:t>
      </w:r>
      <w:r w:rsidR="001C38E4" w:rsidRPr="001E0AF3">
        <w:rPr>
          <w:rFonts w:ascii="Arial" w:hAnsi="Arial" w:cs="Arial"/>
        </w:rPr>
        <w:t>to </w:t>
      </w:r>
      <w:r w:rsidRPr="001E0AF3">
        <w:rPr>
          <w:rFonts w:ascii="Arial" w:hAnsi="Arial" w:cs="Arial"/>
        </w:rPr>
        <w:t xml:space="preserve">ensure community health and safety. Changes to packaging inevitably bring significant cost impost, operational and technical challenges and has commercial implications to a sector that is currently under pressure. </w:t>
      </w:r>
    </w:p>
    <w:p w14:paraId="3D9E8CDC" w14:textId="1F2CFACB" w:rsidR="00557645" w:rsidRPr="001E0AF3" w:rsidRDefault="00557645" w:rsidP="00557645">
      <w:pPr>
        <w:rPr>
          <w:rFonts w:ascii="Arial" w:hAnsi="Arial" w:cs="Arial"/>
        </w:rPr>
      </w:pPr>
      <w:r w:rsidRPr="001E0AF3">
        <w:rPr>
          <w:rFonts w:ascii="Arial" w:hAnsi="Arial" w:cs="Arial"/>
        </w:rPr>
        <w:t>To ensure the highest environmental outcomes with the lowest cost to community, all supply chain parties</w:t>
      </w:r>
      <w:r w:rsidR="00D45B3B" w:rsidRPr="001E0AF3">
        <w:rPr>
          <w:rFonts w:ascii="Arial" w:hAnsi="Arial" w:cs="Arial"/>
        </w:rPr>
        <w:t>,</w:t>
      </w:r>
      <w:r w:rsidR="00BD46B3" w:rsidRPr="001E0AF3">
        <w:rPr>
          <w:rFonts w:ascii="Arial" w:hAnsi="Arial" w:cs="Arial"/>
        </w:rPr>
        <w:t xml:space="preserve"> including</w:t>
      </w:r>
      <w:r w:rsidR="00E465C5" w:rsidRPr="001E0AF3">
        <w:rPr>
          <w:rFonts w:ascii="Arial" w:hAnsi="Arial" w:cs="Arial"/>
        </w:rPr>
        <w:t xml:space="preserve"> -</w:t>
      </w:r>
      <w:r w:rsidR="00D54AC9" w:rsidRPr="001E0AF3">
        <w:rPr>
          <w:rFonts w:ascii="Arial" w:hAnsi="Arial" w:cs="Arial"/>
        </w:rPr>
        <w:t xml:space="preserve"> co</w:t>
      </w:r>
      <w:r w:rsidR="00BE4B98" w:rsidRPr="001E0AF3">
        <w:rPr>
          <w:rFonts w:ascii="Arial" w:hAnsi="Arial" w:cs="Arial"/>
        </w:rPr>
        <w:t>llection, sorting and processing</w:t>
      </w:r>
      <w:r w:rsidR="00C77BAA" w:rsidRPr="001E0AF3">
        <w:rPr>
          <w:rFonts w:ascii="Arial" w:hAnsi="Arial" w:cs="Arial"/>
        </w:rPr>
        <w:t>,</w:t>
      </w:r>
      <w:r w:rsidRPr="001E0AF3">
        <w:rPr>
          <w:rFonts w:ascii="Arial" w:hAnsi="Arial" w:cs="Arial"/>
        </w:rPr>
        <w:t xml:space="preserve"> need to play a role to avoid brand owners being disproportionately burdened with the costs required to transform our national waste system, which would result in a significant inflationary effect.  </w:t>
      </w:r>
    </w:p>
    <w:p w14:paraId="78F683DA" w14:textId="0D8EFC7A" w:rsidR="00557645" w:rsidRPr="001E0AF3" w:rsidRDefault="00557645" w:rsidP="00557645">
      <w:pPr>
        <w:rPr>
          <w:rFonts w:ascii="Arial" w:hAnsi="Arial" w:cs="Arial"/>
          <w:lang w:val="en-US"/>
        </w:rPr>
      </w:pPr>
      <w:r w:rsidRPr="001E0AF3">
        <w:rPr>
          <w:rFonts w:ascii="Arial" w:hAnsi="Arial" w:cs="Arial"/>
          <w:lang w:val="en-US"/>
        </w:rPr>
        <w:t xml:space="preserve">Having reviewed the options paper, we support the high-level framework in </w:t>
      </w:r>
      <w:r w:rsidRPr="001E0AF3">
        <w:rPr>
          <w:rFonts w:ascii="Arial" w:hAnsi="Arial" w:cs="Arial"/>
          <w:b/>
          <w:lang w:val="en-US"/>
        </w:rPr>
        <w:t>option 3</w:t>
      </w:r>
      <w:r w:rsidRPr="001E0AF3">
        <w:rPr>
          <w:rFonts w:ascii="Arial" w:hAnsi="Arial" w:cs="Arial"/>
          <w:lang w:val="en-US"/>
        </w:rPr>
        <w:t xml:space="preserve"> presented by DCCEEW. However, we recommend that this option must be underpinned by</w:t>
      </w:r>
      <w:r w:rsidR="00C709CC" w:rsidRPr="001E0AF3">
        <w:rPr>
          <w:rFonts w:ascii="Arial" w:hAnsi="Arial" w:cs="Arial"/>
          <w:lang w:val="en-US"/>
        </w:rPr>
        <w:t xml:space="preserve"> the following principles and policies to support a true circular economy system for packaging in Australia</w:t>
      </w:r>
      <w:r w:rsidRPr="001E0AF3">
        <w:rPr>
          <w:rFonts w:ascii="Arial" w:hAnsi="Arial" w:cs="Arial"/>
          <w:lang w:val="en-US"/>
        </w:rPr>
        <w:t xml:space="preserve">: </w:t>
      </w:r>
    </w:p>
    <w:p w14:paraId="3FF9C92C" w14:textId="24E63FEE" w:rsidR="00E850F4" w:rsidRPr="001E0AF3" w:rsidRDefault="00E850F4" w:rsidP="00E850F4">
      <w:pPr>
        <w:pStyle w:val="ListParagraph"/>
        <w:widowControl w:val="0"/>
        <w:numPr>
          <w:ilvl w:val="0"/>
          <w:numId w:val="5"/>
        </w:numPr>
        <w:spacing w:before="60" w:after="120" w:line="240" w:lineRule="auto"/>
        <w:rPr>
          <w:rFonts w:ascii="Arial" w:hAnsi="Arial" w:cs="Arial"/>
        </w:rPr>
      </w:pPr>
      <w:r w:rsidRPr="001E0AF3">
        <w:rPr>
          <w:rFonts w:ascii="Arial" w:hAnsi="Arial" w:cs="Arial"/>
        </w:rPr>
        <w:t>Regulation enabling a whole of system, whole of nation and whole of lifecycle approach</w:t>
      </w:r>
      <w:r w:rsidR="00EE3F3E" w:rsidRPr="001E0AF3">
        <w:rPr>
          <w:rFonts w:ascii="Arial" w:hAnsi="Arial" w:cs="Arial"/>
        </w:rPr>
        <w:t xml:space="preserve"> (</w:t>
      </w:r>
      <w:r w:rsidR="006269AD">
        <w:rPr>
          <w:rFonts w:ascii="Arial" w:hAnsi="Arial" w:cs="Arial"/>
          <w:b/>
          <w:bCs/>
        </w:rPr>
        <w:t>S</w:t>
      </w:r>
      <w:r w:rsidR="00EE3F3E" w:rsidRPr="006269AD">
        <w:rPr>
          <w:rFonts w:ascii="Arial" w:hAnsi="Arial" w:cs="Arial"/>
          <w:b/>
          <w:bCs/>
        </w:rPr>
        <w:t>ection 1</w:t>
      </w:r>
      <w:r w:rsidR="00EE3F3E" w:rsidRPr="001E0AF3">
        <w:rPr>
          <w:rFonts w:ascii="Arial" w:hAnsi="Arial" w:cs="Arial"/>
        </w:rPr>
        <w:t>)</w:t>
      </w:r>
      <w:r w:rsidRPr="001E0AF3">
        <w:rPr>
          <w:rFonts w:ascii="Arial" w:hAnsi="Arial" w:cs="Arial"/>
        </w:rPr>
        <w:t>.</w:t>
      </w:r>
    </w:p>
    <w:p w14:paraId="6974C58C" w14:textId="20E37CF7" w:rsidR="00C709CC" w:rsidRPr="001E0AF3" w:rsidRDefault="00C709CC" w:rsidP="00C709CC">
      <w:pPr>
        <w:pStyle w:val="ListParagraph"/>
        <w:widowControl w:val="0"/>
        <w:numPr>
          <w:ilvl w:val="0"/>
          <w:numId w:val="5"/>
        </w:numPr>
        <w:spacing w:before="60" w:after="120" w:line="240" w:lineRule="auto"/>
        <w:rPr>
          <w:rFonts w:ascii="Arial" w:hAnsi="Arial" w:cs="Arial"/>
        </w:rPr>
      </w:pPr>
      <w:r w:rsidRPr="001E0AF3">
        <w:rPr>
          <w:rFonts w:ascii="Arial" w:hAnsi="Arial" w:cs="Arial"/>
        </w:rPr>
        <w:t>Targeted Extended Producer Responsibility must align with</w:t>
      </w:r>
      <w:r w:rsidR="000355CE" w:rsidRPr="001E0AF3">
        <w:rPr>
          <w:rFonts w:ascii="Arial" w:hAnsi="Arial" w:cs="Arial"/>
        </w:rPr>
        <w:t xml:space="preserve"> Best Practice </w:t>
      </w:r>
      <w:r w:rsidR="006721BF" w:rsidRPr="001E0AF3">
        <w:rPr>
          <w:rFonts w:ascii="Arial" w:hAnsi="Arial" w:cs="Arial"/>
        </w:rPr>
        <w:t xml:space="preserve">EPR </w:t>
      </w:r>
      <w:r w:rsidR="000355CE" w:rsidRPr="001E0AF3">
        <w:rPr>
          <w:rFonts w:ascii="Arial" w:hAnsi="Arial" w:cs="Arial"/>
        </w:rPr>
        <w:t>Principles</w:t>
      </w:r>
      <w:r w:rsidRPr="001E0AF3">
        <w:rPr>
          <w:rFonts w:ascii="Arial" w:hAnsi="Arial" w:cs="Arial"/>
        </w:rPr>
        <w:t xml:space="preserve"> </w:t>
      </w:r>
      <w:r w:rsidR="009B141A" w:rsidRPr="001E0AF3">
        <w:rPr>
          <w:rFonts w:ascii="Arial" w:hAnsi="Arial" w:cs="Arial"/>
        </w:rPr>
        <w:t>(</w:t>
      </w:r>
      <w:r w:rsidR="006269AD">
        <w:rPr>
          <w:rFonts w:ascii="Arial" w:hAnsi="Arial" w:cs="Arial"/>
          <w:b/>
          <w:bCs/>
        </w:rPr>
        <w:t>S</w:t>
      </w:r>
      <w:r w:rsidR="009B141A" w:rsidRPr="006269AD">
        <w:rPr>
          <w:rFonts w:ascii="Arial" w:hAnsi="Arial" w:cs="Arial"/>
          <w:b/>
          <w:bCs/>
        </w:rPr>
        <w:t xml:space="preserve">ection </w:t>
      </w:r>
      <w:r w:rsidR="00EE3F3E" w:rsidRPr="006269AD">
        <w:rPr>
          <w:rFonts w:ascii="Arial" w:hAnsi="Arial" w:cs="Arial"/>
          <w:b/>
          <w:bCs/>
        </w:rPr>
        <w:t>2</w:t>
      </w:r>
      <w:r w:rsidR="00EE3F3E" w:rsidRPr="001E0AF3">
        <w:rPr>
          <w:rFonts w:ascii="Arial" w:hAnsi="Arial" w:cs="Arial"/>
        </w:rPr>
        <w:t xml:space="preserve">) </w:t>
      </w:r>
      <w:r w:rsidRPr="001E0AF3">
        <w:rPr>
          <w:rFonts w:ascii="Arial" w:hAnsi="Arial" w:cs="Arial"/>
        </w:rPr>
        <w:t>and is coupled with mandatory standards and traceability requirements for the waste and recycling industry.</w:t>
      </w:r>
    </w:p>
    <w:p w14:paraId="77679F0C" w14:textId="2711D2F2" w:rsidR="00557645" w:rsidRPr="001E0AF3" w:rsidRDefault="00557645" w:rsidP="00557645">
      <w:pPr>
        <w:pStyle w:val="ListParagraph"/>
        <w:widowControl w:val="0"/>
        <w:numPr>
          <w:ilvl w:val="0"/>
          <w:numId w:val="5"/>
        </w:numPr>
        <w:spacing w:before="60" w:after="120" w:line="240" w:lineRule="auto"/>
        <w:rPr>
          <w:rFonts w:ascii="Arial" w:hAnsi="Arial" w:cs="Arial"/>
        </w:rPr>
      </w:pPr>
      <w:r w:rsidRPr="001E0AF3">
        <w:rPr>
          <w:rFonts w:ascii="Arial" w:hAnsi="Arial" w:cs="Arial"/>
        </w:rPr>
        <w:t>Government needs to provide capital tax incentives/ grants to support changes in packaging as well as changes in packaging equipment</w:t>
      </w:r>
      <w:r w:rsidR="00EE3F3E" w:rsidRPr="001E0AF3">
        <w:rPr>
          <w:rFonts w:ascii="Arial" w:hAnsi="Arial" w:cs="Arial"/>
        </w:rPr>
        <w:t xml:space="preserve"> (</w:t>
      </w:r>
      <w:r w:rsidR="006269AD" w:rsidRPr="006269AD">
        <w:rPr>
          <w:rFonts w:ascii="Arial" w:hAnsi="Arial" w:cs="Arial"/>
          <w:b/>
          <w:bCs/>
        </w:rPr>
        <w:t>S</w:t>
      </w:r>
      <w:r w:rsidR="00EE3F3E" w:rsidRPr="006269AD">
        <w:rPr>
          <w:rFonts w:ascii="Arial" w:hAnsi="Arial" w:cs="Arial"/>
          <w:b/>
          <w:bCs/>
        </w:rPr>
        <w:t>ection 3</w:t>
      </w:r>
      <w:r w:rsidR="00EE3F3E" w:rsidRPr="001E0AF3">
        <w:rPr>
          <w:rFonts w:ascii="Arial" w:hAnsi="Arial" w:cs="Arial"/>
        </w:rPr>
        <w:t>)</w:t>
      </w:r>
      <w:r w:rsidRPr="001E0AF3">
        <w:rPr>
          <w:rFonts w:ascii="Arial" w:hAnsi="Arial" w:cs="Arial"/>
        </w:rPr>
        <w:t>.</w:t>
      </w:r>
    </w:p>
    <w:p w14:paraId="548FBA4C" w14:textId="77777777" w:rsidR="00C709CC" w:rsidRPr="001E0AF3" w:rsidRDefault="00C709CC" w:rsidP="007C1333">
      <w:pPr>
        <w:pStyle w:val="ListParagraph"/>
        <w:widowControl w:val="0"/>
        <w:spacing w:before="60" w:after="120" w:line="240" w:lineRule="auto"/>
        <w:rPr>
          <w:rFonts w:ascii="Arial" w:hAnsi="Arial" w:cs="Arial"/>
        </w:rPr>
      </w:pPr>
    </w:p>
    <w:p w14:paraId="2F98BDE8" w14:textId="77777777" w:rsidR="00D047BD" w:rsidRPr="001E0AF3" w:rsidRDefault="00D047BD" w:rsidP="007C1333">
      <w:pPr>
        <w:pStyle w:val="ListParagraph"/>
        <w:widowControl w:val="0"/>
        <w:spacing w:before="60" w:after="120" w:line="240" w:lineRule="auto"/>
        <w:rPr>
          <w:rFonts w:ascii="Arial" w:hAnsi="Arial" w:cs="Arial"/>
        </w:rPr>
      </w:pPr>
    </w:p>
    <w:p w14:paraId="2FDE4DAA" w14:textId="77777777" w:rsidR="00D047BD" w:rsidRDefault="00D047BD" w:rsidP="007C1333">
      <w:pPr>
        <w:pStyle w:val="ListParagraph"/>
        <w:widowControl w:val="0"/>
        <w:spacing w:before="60" w:after="120" w:line="240" w:lineRule="auto"/>
        <w:rPr>
          <w:rFonts w:ascii="Arial" w:hAnsi="Arial" w:cs="Arial"/>
        </w:rPr>
      </w:pPr>
    </w:p>
    <w:p w14:paraId="1B2811CE" w14:textId="77777777" w:rsidR="00DD5C2E" w:rsidRDefault="00DD5C2E" w:rsidP="007C1333">
      <w:pPr>
        <w:pStyle w:val="ListParagraph"/>
        <w:widowControl w:val="0"/>
        <w:spacing w:before="60" w:after="120" w:line="240" w:lineRule="auto"/>
        <w:rPr>
          <w:rFonts w:ascii="Arial" w:hAnsi="Arial" w:cs="Arial"/>
        </w:rPr>
      </w:pPr>
    </w:p>
    <w:p w14:paraId="25F1DC20" w14:textId="77777777" w:rsidR="00DD5C2E" w:rsidRPr="001E0AF3" w:rsidRDefault="00DD5C2E" w:rsidP="007C1333">
      <w:pPr>
        <w:pStyle w:val="ListParagraph"/>
        <w:widowControl w:val="0"/>
        <w:spacing w:before="60" w:after="120" w:line="240" w:lineRule="auto"/>
        <w:rPr>
          <w:rFonts w:ascii="Arial" w:hAnsi="Arial" w:cs="Arial"/>
        </w:rPr>
      </w:pPr>
    </w:p>
    <w:p w14:paraId="4F18E303" w14:textId="77777777" w:rsidR="00D047BD" w:rsidRPr="001E0AF3" w:rsidRDefault="00D047BD" w:rsidP="007C1333">
      <w:pPr>
        <w:pStyle w:val="ListParagraph"/>
        <w:widowControl w:val="0"/>
        <w:spacing w:before="60" w:after="120" w:line="240" w:lineRule="auto"/>
        <w:rPr>
          <w:rFonts w:ascii="Arial" w:hAnsi="Arial" w:cs="Arial"/>
        </w:rPr>
      </w:pPr>
    </w:p>
    <w:p w14:paraId="7BF52396" w14:textId="1F640587" w:rsidR="00876CEF" w:rsidRPr="001E0AF3" w:rsidRDefault="009A0F0E" w:rsidP="009A0F0E">
      <w:pPr>
        <w:pStyle w:val="Heading2"/>
        <w:numPr>
          <w:ilvl w:val="0"/>
          <w:numId w:val="7"/>
        </w:numPr>
        <w:rPr>
          <w:rFonts w:ascii="Arial" w:hAnsi="Arial" w:cs="Arial"/>
        </w:rPr>
      </w:pPr>
      <w:r w:rsidRPr="001E0AF3">
        <w:rPr>
          <w:rFonts w:ascii="Arial" w:hAnsi="Arial" w:cs="Arial"/>
        </w:rPr>
        <w:lastRenderedPageBreak/>
        <w:t xml:space="preserve">Enabling Regulation </w:t>
      </w:r>
    </w:p>
    <w:p w14:paraId="1BF7051D" w14:textId="37A072DA" w:rsidR="009A0F0E" w:rsidRPr="009A0F0E" w:rsidRDefault="0027222C" w:rsidP="009A0F0E">
      <w:pPr>
        <w:rPr>
          <w:rFonts w:ascii="Arial" w:hAnsi="Arial" w:cs="Arial"/>
          <w:sz w:val="21"/>
          <w:szCs w:val="21"/>
        </w:rPr>
      </w:pPr>
      <w:r>
        <w:rPr>
          <w:rFonts w:ascii="Arial" w:hAnsi="Arial" w:cs="Arial"/>
          <w:sz w:val="21"/>
          <w:szCs w:val="21"/>
        </w:rPr>
        <w:t xml:space="preserve">The following regulatory enablers are essential for an effective and circular packaging system. These enablers support whole of system, whole of lifecycle, and whole of nation approach to circularity. Without these enablers, there will be severe gaps in the policy and regulatory landscape </w:t>
      </w:r>
      <w:r w:rsidR="00EE52F2">
        <w:rPr>
          <w:rFonts w:ascii="Arial" w:hAnsi="Arial" w:cs="Arial"/>
          <w:sz w:val="21"/>
          <w:szCs w:val="21"/>
        </w:rPr>
        <w:t xml:space="preserve">and risk option 3 failing. </w:t>
      </w:r>
    </w:p>
    <w:p w14:paraId="46D65D53" w14:textId="1331C5D9" w:rsidR="005A3F79" w:rsidRPr="00AF20FE" w:rsidRDefault="006D6565" w:rsidP="005A3F79">
      <w:pPr>
        <w:rPr>
          <w:rFonts w:ascii="Arial" w:hAnsi="Arial" w:cs="Arial"/>
          <w:b/>
          <w:sz w:val="21"/>
          <w:szCs w:val="21"/>
        </w:rPr>
      </w:pPr>
      <w:r w:rsidRPr="00AF20FE">
        <w:rPr>
          <w:rFonts w:ascii="Arial" w:hAnsi="Arial" w:cs="Arial"/>
          <w:b/>
          <w:sz w:val="21"/>
          <w:szCs w:val="21"/>
        </w:rPr>
        <w:t xml:space="preserve">Packaging Design Standards </w:t>
      </w:r>
    </w:p>
    <w:tbl>
      <w:tblPr>
        <w:tblStyle w:val="TableGrid"/>
        <w:tblW w:w="0" w:type="auto"/>
        <w:tblLook w:val="04A0" w:firstRow="1" w:lastRow="0" w:firstColumn="1" w:lastColumn="0" w:noHBand="0" w:noVBand="1"/>
      </w:tblPr>
      <w:tblGrid>
        <w:gridCol w:w="3539"/>
        <w:gridCol w:w="5477"/>
      </w:tblGrid>
      <w:tr w:rsidR="007478C6" w:rsidRPr="001E0AF3" w14:paraId="4DFAC0F6" w14:textId="77777777" w:rsidTr="006C2880">
        <w:tc>
          <w:tcPr>
            <w:tcW w:w="3539" w:type="dxa"/>
            <w:shd w:val="clear" w:color="auto" w:fill="73A6B7"/>
          </w:tcPr>
          <w:p w14:paraId="4F9563ED" w14:textId="25BA7D70" w:rsidR="007478C6" w:rsidRDefault="00E14A3C" w:rsidP="005A3F79">
            <w:pPr>
              <w:rPr>
                <w:rFonts w:ascii="Arial" w:hAnsi="Arial" w:cs="Arial"/>
                <w:sz w:val="21"/>
                <w:szCs w:val="21"/>
              </w:rPr>
            </w:pPr>
            <w:r w:rsidRPr="001E0AF3">
              <w:rPr>
                <w:rFonts w:ascii="Arial" w:hAnsi="Arial" w:cs="Arial"/>
              </w:rPr>
              <w:t xml:space="preserve">Goal </w:t>
            </w:r>
          </w:p>
        </w:tc>
        <w:tc>
          <w:tcPr>
            <w:tcW w:w="5477" w:type="dxa"/>
            <w:shd w:val="clear" w:color="auto" w:fill="73A6B7"/>
          </w:tcPr>
          <w:p w14:paraId="31275BD5" w14:textId="7E6AF0EC" w:rsidR="007478C6" w:rsidRDefault="00E14A3C" w:rsidP="005A3F79">
            <w:pPr>
              <w:rPr>
                <w:rFonts w:ascii="Arial" w:hAnsi="Arial" w:cs="Arial"/>
                <w:sz w:val="21"/>
                <w:szCs w:val="21"/>
              </w:rPr>
            </w:pPr>
            <w:r w:rsidRPr="001E0AF3">
              <w:rPr>
                <w:rFonts w:ascii="Arial" w:hAnsi="Arial" w:cs="Arial"/>
              </w:rPr>
              <w:t>Policy Action</w:t>
            </w:r>
          </w:p>
        </w:tc>
      </w:tr>
      <w:tr w:rsidR="007478C6" w:rsidRPr="001E0AF3" w14:paraId="0C6A9C96" w14:textId="77777777" w:rsidTr="006C2880">
        <w:tc>
          <w:tcPr>
            <w:tcW w:w="3539" w:type="dxa"/>
            <w:vMerge w:val="restart"/>
          </w:tcPr>
          <w:p w14:paraId="27C97B41" w14:textId="134ADDDB" w:rsidR="007478C6" w:rsidRDefault="00E14A3C" w:rsidP="005A3F79">
            <w:pPr>
              <w:rPr>
                <w:rFonts w:ascii="Arial" w:hAnsi="Arial" w:cs="Arial"/>
                <w:sz w:val="21"/>
                <w:szCs w:val="21"/>
              </w:rPr>
            </w:pPr>
            <w:r w:rsidRPr="001E0AF3">
              <w:rPr>
                <w:rFonts w:ascii="Arial" w:hAnsi="Arial" w:cs="Arial"/>
              </w:rPr>
              <w:t>Packaging design regulations that support a nationally harmonised circular system.</w:t>
            </w:r>
          </w:p>
        </w:tc>
        <w:tc>
          <w:tcPr>
            <w:tcW w:w="5477" w:type="dxa"/>
          </w:tcPr>
          <w:p w14:paraId="778A36F0" w14:textId="70776DC2" w:rsidR="007478C6" w:rsidRDefault="00E14A3C" w:rsidP="005A3F79">
            <w:pPr>
              <w:rPr>
                <w:rFonts w:ascii="Arial" w:hAnsi="Arial" w:cs="Arial"/>
                <w:sz w:val="21"/>
                <w:szCs w:val="21"/>
              </w:rPr>
            </w:pPr>
            <w:r w:rsidRPr="001E0AF3">
              <w:rPr>
                <w:rFonts w:ascii="Arial" w:hAnsi="Arial" w:cs="Arial"/>
              </w:rPr>
              <w:t xml:space="preserve">Minimal variation to the Australian Recycling Label with adequate transition time </w:t>
            </w:r>
          </w:p>
        </w:tc>
      </w:tr>
      <w:tr w:rsidR="007478C6" w:rsidRPr="001E0AF3" w14:paraId="5548C40F" w14:textId="77777777" w:rsidTr="006C2880">
        <w:tc>
          <w:tcPr>
            <w:tcW w:w="3539" w:type="dxa"/>
            <w:vMerge/>
          </w:tcPr>
          <w:p w14:paraId="7105E2A8" w14:textId="77777777" w:rsidR="007478C6" w:rsidRDefault="007478C6" w:rsidP="005A3F79">
            <w:pPr>
              <w:rPr>
                <w:rFonts w:ascii="Arial" w:hAnsi="Arial" w:cs="Arial"/>
                <w:sz w:val="21"/>
                <w:szCs w:val="21"/>
              </w:rPr>
            </w:pPr>
          </w:p>
        </w:tc>
        <w:tc>
          <w:tcPr>
            <w:tcW w:w="5477" w:type="dxa"/>
          </w:tcPr>
          <w:p w14:paraId="09D541C4" w14:textId="28D545DA" w:rsidR="007478C6" w:rsidRDefault="00E14A3C" w:rsidP="005A3F79">
            <w:pPr>
              <w:rPr>
                <w:rFonts w:ascii="Arial" w:hAnsi="Arial" w:cs="Arial"/>
                <w:sz w:val="21"/>
                <w:szCs w:val="21"/>
              </w:rPr>
            </w:pPr>
            <w:r w:rsidRPr="001E0AF3">
              <w:rPr>
                <w:rFonts w:ascii="Arial" w:hAnsi="Arial" w:cs="Arial"/>
              </w:rPr>
              <w:t xml:space="preserve">Consistent and harmonised federal, state and territory </w:t>
            </w:r>
            <w:r w:rsidR="007B3976">
              <w:rPr>
                <w:rFonts w:ascii="Arial" w:hAnsi="Arial" w:cs="Arial"/>
              </w:rPr>
              <w:t>(single-use packag</w:t>
            </w:r>
            <w:r w:rsidR="00D10813">
              <w:rPr>
                <w:rFonts w:ascii="Arial" w:hAnsi="Arial" w:cs="Arial"/>
              </w:rPr>
              <w:t xml:space="preserve">ing) </w:t>
            </w:r>
            <w:r w:rsidRPr="001E0AF3">
              <w:rPr>
                <w:rFonts w:ascii="Arial" w:hAnsi="Arial" w:cs="Arial"/>
              </w:rPr>
              <w:t xml:space="preserve">regulation. </w:t>
            </w:r>
          </w:p>
        </w:tc>
      </w:tr>
      <w:tr w:rsidR="007478C6" w:rsidRPr="001E0AF3" w14:paraId="3F57D127" w14:textId="77777777" w:rsidTr="006C2880">
        <w:tc>
          <w:tcPr>
            <w:tcW w:w="3539" w:type="dxa"/>
            <w:vMerge/>
          </w:tcPr>
          <w:p w14:paraId="639654B4" w14:textId="77777777" w:rsidR="007478C6" w:rsidRDefault="007478C6" w:rsidP="005A3F79">
            <w:pPr>
              <w:rPr>
                <w:rFonts w:ascii="Arial" w:hAnsi="Arial" w:cs="Arial"/>
                <w:sz w:val="21"/>
                <w:szCs w:val="21"/>
              </w:rPr>
            </w:pPr>
          </w:p>
        </w:tc>
        <w:tc>
          <w:tcPr>
            <w:tcW w:w="5477" w:type="dxa"/>
          </w:tcPr>
          <w:p w14:paraId="193C74C1" w14:textId="00F7CAF7" w:rsidR="007478C6" w:rsidRDefault="00E14A3C" w:rsidP="005A3F79">
            <w:pPr>
              <w:rPr>
                <w:rFonts w:ascii="Arial" w:hAnsi="Arial" w:cs="Arial"/>
                <w:sz w:val="21"/>
                <w:szCs w:val="21"/>
              </w:rPr>
            </w:pPr>
            <w:r w:rsidRPr="001E0AF3">
              <w:rPr>
                <w:rFonts w:ascii="Arial" w:hAnsi="Arial" w:cs="Arial"/>
              </w:rPr>
              <w:t xml:space="preserve">Alignment with New Zealand and EU regulation </w:t>
            </w:r>
          </w:p>
        </w:tc>
      </w:tr>
      <w:tr w:rsidR="007478C6" w:rsidRPr="001E0AF3" w14:paraId="421BBA40" w14:textId="77777777" w:rsidTr="006C2880">
        <w:tc>
          <w:tcPr>
            <w:tcW w:w="3539" w:type="dxa"/>
          </w:tcPr>
          <w:p w14:paraId="26FF921F" w14:textId="3D320D25" w:rsidR="007478C6" w:rsidRDefault="00E14A3C" w:rsidP="005A3F79">
            <w:pPr>
              <w:rPr>
                <w:rFonts w:ascii="Arial" w:hAnsi="Arial" w:cs="Arial"/>
                <w:sz w:val="21"/>
                <w:szCs w:val="21"/>
              </w:rPr>
            </w:pPr>
            <w:r w:rsidRPr="001E0AF3">
              <w:rPr>
                <w:rFonts w:ascii="Arial" w:hAnsi="Arial" w:cs="Arial"/>
              </w:rPr>
              <w:t xml:space="preserve">Adequate transition time for industry to make packaging changes </w:t>
            </w:r>
          </w:p>
        </w:tc>
        <w:tc>
          <w:tcPr>
            <w:tcW w:w="5477" w:type="dxa"/>
          </w:tcPr>
          <w:p w14:paraId="359577A5" w14:textId="442F0CC0" w:rsidR="007478C6" w:rsidRDefault="00E14A3C" w:rsidP="005A3F79">
            <w:pPr>
              <w:rPr>
                <w:rFonts w:ascii="Arial" w:hAnsi="Arial" w:cs="Arial"/>
                <w:sz w:val="21"/>
                <w:szCs w:val="21"/>
              </w:rPr>
            </w:pPr>
            <w:r w:rsidRPr="001E0AF3">
              <w:rPr>
                <w:rFonts w:ascii="Arial" w:hAnsi="Arial" w:cs="Arial"/>
              </w:rPr>
              <w:t xml:space="preserve">3- </w:t>
            </w:r>
            <w:proofErr w:type="gramStart"/>
            <w:r w:rsidRPr="001E0AF3">
              <w:rPr>
                <w:rFonts w:ascii="Arial" w:hAnsi="Arial" w:cs="Arial"/>
              </w:rPr>
              <w:t>5 year</w:t>
            </w:r>
            <w:proofErr w:type="gramEnd"/>
            <w:r w:rsidRPr="001E0AF3">
              <w:rPr>
                <w:rFonts w:ascii="Arial" w:hAnsi="Arial" w:cs="Arial"/>
              </w:rPr>
              <w:t xml:space="preserve"> timeframe for brands to transition </w:t>
            </w:r>
          </w:p>
        </w:tc>
      </w:tr>
      <w:tr w:rsidR="00653930" w:rsidRPr="001E0AF3" w14:paraId="4CD1C6FC" w14:textId="77777777" w:rsidTr="006C2880">
        <w:tc>
          <w:tcPr>
            <w:tcW w:w="3539" w:type="dxa"/>
            <w:vMerge w:val="restart"/>
          </w:tcPr>
          <w:p w14:paraId="6FEF8900" w14:textId="5FFCDBC1" w:rsidR="00653930" w:rsidRPr="001E0AF3" w:rsidRDefault="00653930" w:rsidP="00E14A3C">
            <w:pPr>
              <w:rPr>
                <w:rFonts w:ascii="Arial" w:hAnsi="Arial" w:cs="Arial"/>
              </w:rPr>
            </w:pPr>
            <w:r w:rsidRPr="001E0AF3">
              <w:rPr>
                <w:rFonts w:ascii="Arial" w:hAnsi="Arial" w:cs="Arial"/>
              </w:rPr>
              <w:t xml:space="preserve">Packaging design standards that are fit for purpose and protects food, drink, household and medicinal products. </w:t>
            </w:r>
          </w:p>
        </w:tc>
        <w:tc>
          <w:tcPr>
            <w:tcW w:w="5477" w:type="dxa"/>
          </w:tcPr>
          <w:p w14:paraId="5367B684" w14:textId="4C1EB63C" w:rsidR="00653930" w:rsidRPr="001E0AF3" w:rsidRDefault="00653930" w:rsidP="009924B7">
            <w:pPr>
              <w:spacing w:after="120" w:line="278" w:lineRule="auto"/>
              <w:rPr>
                <w:rFonts w:ascii="Arial" w:hAnsi="Arial" w:cs="Arial"/>
              </w:rPr>
            </w:pPr>
            <w:r w:rsidRPr="009924B7">
              <w:rPr>
                <w:rFonts w:ascii="Arial" w:hAnsi="Arial" w:cs="Arial"/>
                <w:sz w:val="21"/>
                <w:szCs w:val="21"/>
              </w:rPr>
              <w:t>Industry</w:t>
            </w:r>
            <w:r>
              <w:rPr>
                <w:rFonts w:ascii="Arial" w:hAnsi="Arial" w:cs="Arial"/>
                <w:sz w:val="21"/>
                <w:szCs w:val="21"/>
              </w:rPr>
              <w:t>-</w:t>
            </w:r>
            <w:r w:rsidRPr="009924B7">
              <w:rPr>
                <w:rFonts w:ascii="Arial" w:hAnsi="Arial" w:cs="Arial"/>
                <w:sz w:val="21"/>
                <w:szCs w:val="21"/>
              </w:rPr>
              <w:t>aligned Lifecycle Assessment Framework overlaying packaging design standards.</w:t>
            </w:r>
            <w:r w:rsidRPr="001E0AF3">
              <w:rPr>
                <w:rFonts w:ascii="Arial" w:hAnsi="Arial" w:cs="Arial"/>
              </w:rPr>
              <w:t xml:space="preserve"> </w:t>
            </w:r>
          </w:p>
        </w:tc>
      </w:tr>
      <w:tr w:rsidR="00653930" w:rsidRPr="001E0AF3" w14:paraId="4A2BFBBA" w14:textId="77777777" w:rsidTr="006C2880">
        <w:tc>
          <w:tcPr>
            <w:tcW w:w="3539" w:type="dxa"/>
            <w:vMerge/>
          </w:tcPr>
          <w:p w14:paraId="69E09030" w14:textId="4A626BA6" w:rsidR="00653930" w:rsidRPr="001E0AF3" w:rsidRDefault="00653930" w:rsidP="00E14A3C">
            <w:pPr>
              <w:rPr>
                <w:rFonts w:ascii="Arial" w:hAnsi="Arial" w:cs="Arial"/>
              </w:rPr>
            </w:pPr>
          </w:p>
        </w:tc>
        <w:tc>
          <w:tcPr>
            <w:tcW w:w="5477" w:type="dxa"/>
          </w:tcPr>
          <w:p w14:paraId="670872E0" w14:textId="2E799DF8" w:rsidR="00653930" w:rsidRPr="001E0AF3" w:rsidRDefault="00653930" w:rsidP="00E14A3C">
            <w:pPr>
              <w:rPr>
                <w:rFonts w:ascii="Arial" w:hAnsi="Arial" w:cs="Arial"/>
              </w:rPr>
            </w:pPr>
            <w:r w:rsidRPr="001E0AF3">
              <w:rPr>
                <w:rFonts w:ascii="Arial" w:hAnsi="Arial" w:cs="Arial"/>
              </w:rPr>
              <w:t xml:space="preserve">Recycled content must reflect the technical requirements of a product. </w:t>
            </w:r>
          </w:p>
        </w:tc>
      </w:tr>
    </w:tbl>
    <w:p w14:paraId="71CB2A0C" w14:textId="77777777" w:rsidR="00AF20FE" w:rsidRDefault="00AF20FE" w:rsidP="005A3F79">
      <w:pPr>
        <w:rPr>
          <w:rFonts w:ascii="Arial" w:hAnsi="Arial" w:cs="Arial"/>
          <w:b/>
          <w:sz w:val="21"/>
          <w:szCs w:val="21"/>
        </w:rPr>
      </w:pPr>
    </w:p>
    <w:p w14:paraId="7C66DF78" w14:textId="19F89DD1" w:rsidR="00C25DA9" w:rsidRPr="00AF20FE" w:rsidRDefault="00B02044" w:rsidP="005A3F79">
      <w:pPr>
        <w:rPr>
          <w:rFonts w:ascii="Arial" w:hAnsi="Arial" w:cs="Arial"/>
          <w:b/>
          <w:sz w:val="21"/>
          <w:szCs w:val="21"/>
        </w:rPr>
      </w:pPr>
      <w:r w:rsidRPr="00AF20FE">
        <w:rPr>
          <w:rFonts w:ascii="Arial" w:hAnsi="Arial" w:cs="Arial"/>
          <w:b/>
          <w:sz w:val="21"/>
          <w:szCs w:val="21"/>
        </w:rPr>
        <w:t xml:space="preserve">Waste and recycling </w:t>
      </w:r>
    </w:p>
    <w:tbl>
      <w:tblPr>
        <w:tblStyle w:val="TableGrid"/>
        <w:tblW w:w="0" w:type="auto"/>
        <w:tblLook w:val="04A0" w:firstRow="1" w:lastRow="0" w:firstColumn="1" w:lastColumn="0" w:noHBand="0" w:noVBand="1"/>
      </w:tblPr>
      <w:tblGrid>
        <w:gridCol w:w="3539"/>
        <w:gridCol w:w="5477"/>
      </w:tblGrid>
      <w:tr w:rsidR="00B02044" w:rsidRPr="001E0AF3" w14:paraId="40BF4BA4" w14:textId="77777777" w:rsidTr="00B02044">
        <w:tc>
          <w:tcPr>
            <w:tcW w:w="3539" w:type="dxa"/>
            <w:shd w:val="clear" w:color="auto" w:fill="73A6B7"/>
          </w:tcPr>
          <w:p w14:paraId="51B8B194" w14:textId="3CFD38D2" w:rsidR="00B02044" w:rsidRPr="001E0AF3" w:rsidRDefault="00B02044" w:rsidP="006D6565">
            <w:pPr>
              <w:rPr>
                <w:rFonts w:ascii="Arial" w:hAnsi="Arial" w:cs="Arial"/>
              </w:rPr>
            </w:pPr>
            <w:r w:rsidRPr="001E0AF3">
              <w:rPr>
                <w:rFonts w:ascii="Arial" w:hAnsi="Arial" w:cs="Arial"/>
              </w:rPr>
              <w:t xml:space="preserve">Goal </w:t>
            </w:r>
          </w:p>
        </w:tc>
        <w:tc>
          <w:tcPr>
            <w:tcW w:w="5477" w:type="dxa"/>
            <w:shd w:val="clear" w:color="auto" w:fill="73A6B7"/>
          </w:tcPr>
          <w:p w14:paraId="358169A9" w14:textId="228E4E63" w:rsidR="00B02044" w:rsidRPr="001E0AF3" w:rsidRDefault="00B02044" w:rsidP="006D6565">
            <w:pPr>
              <w:rPr>
                <w:rFonts w:ascii="Arial" w:hAnsi="Arial" w:cs="Arial"/>
              </w:rPr>
            </w:pPr>
            <w:r w:rsidRPr="001E0AF3">
              <w:rPr>
                <w:rFonts w:ascii="Arial" w:hAnsi="Arial" w:cs="Arial"/>
              </w:rPr>
              <w:t xml:space="preserve">Policy Action </w:t>
            </w:r>
          </w:p>
        </w:tc>
      </w:tr>
      <w:tr w:rsidR="00DF5C05" w:rsidRPr="001E0AF3" w14:paraId="75476327" w14:textId="77777777" w:rsidTr="00B02044">
        <w:tc>
          <w:tcPr>
            <w:tcW w:w="3539" w:type="dxa"/>
            <w:vMerge w:val="restart"/>
          </w:tcPr>
          <w:p w14:paraId="1F05E093" w14:textId="011084B3" w:rsidR="00DF5C05" w:rsidRDefault="00DF5C05" w:rsidP="006D6565">
            <w:pPr>
              <w:rPr>
                <w:rFonts w:ascii="Arial" w:hAnsi="Arial" w:cs="Arial"/>
                <w:sz w:val="21"/>
                <w:szCs w:val="21"/>
              </w:rPr>
            </w:pPr>
            <w:r w:rsidRPr="001E0AF3">
              <w:rPr>
                <w:rFonts w:ascii="Arial" w:hAnsi="Arial" w:cs="Arial"/>
              </w:rPr>
              <w:t xml:space="preserve">Waste and recycling regulations that align with packaging design standards. </w:t>
            </w:r>
          </w:p>
        </w:tc>
        <w:tc>
          <w:tcPr>
            <w:tcW w:w="5477" w:type="dxa"/>
          </w:tcPr>
          <w:p w14:paraId="3F853B79" w14:textId="2D273764" w:rsidR="00DF5C05" w:rsidRDefault="00DF5C05" w:rsidP="006D6565">
            <w:pPr>
              <w:rPr>
                <w:rFonts w:ascii="Arial" w:hAnsi="Arial" w:cs="Arial"/>
                <w:sz w:val="21"/>
                <w:szCs w:val="21"/>
              </w:rPr>
            </w:pPr>
            <w:r w:rsidRPr="001E0AF3">
              <w:rPr>
                <w:rFonts w:ascii="Arial" w:hAnsi="Arial" w:cs="Arial"/>
              </w:rPr>
              <w:t xml:space="preserve">Harmonised national kerbside standard. </w:t>
            </w:r>
          </w:p>
        </w:tc>
      </w:tr>
      <w:tr w:rsidR="00DF5C05" w:rsidRPr="001E0AF3" w14:paraId="31BDBCE7" w14:textId="77777777" w:rsidTr="00B02044">
        <w:tc>
          <w:tcPr>
            <w:tcW w:w="3539" w:type="dxa"/>
            <w:vMerge/>
          </w:tcPr>
          <w:p w14:paraId="4EB3B2F9" w14:textId="62012497" w:rsidR="00DF5C05" w:rsidRDefault="00DF5C05" w:rsidP="006D6565">
            <w:pPr>
              <w:rPr>
                <w:rFonts w:ascii="Arial" w:hAnsi="Arial" w:cs="Arial"/>
                <w:sz w:val="21"/>
                <w:szCs w:val="21"/>
              </w:rPr>
            </w:pPr>
          </w:p>
        </w:tc>
        <w:tc>
          <w:tcPr>
            <w:tcW w:w="5477" w:type="dxa"/>
          </w:tcPr>
          <w:p w14:paraId="5EE5D232" w14:textId="11B17696" w:rsidR="00DF5C05" w:rsidRDefault="00DF5C05" w:rsidP="00E155AD">
            <w:pPr>
              <w:rPr>
                <w:rFonts w:ascii="Arial" w:hAnsi="Arial" w:cs="Arial"/>
                <w:sz w:val="21"/>
                <w:szCs w:val="21"/>
              </w:rPr>
            </w:pPr>
            <w:r>
              <w:rPr>
                <w:rFonts w:ascii="Arial" w:hAnsi="Arial" w:cs="Arial"/>
                <w:sz w:val="21"/>
                <w:szCs w:val="21"/>
                <w:lang w:val="en-AU"/>
              </w:rPr>
              <w:t>M</w:t>
            </w:r>
            <w:r w:rsidRPr="005B5E50">
              <w:rPr>
                <w:rFonts w:ascii="Arial" w:hAnsi="Arial" w:cs="Arial"/>
                <w:sz w:val="21"/>
                <w:szCs w:val="21"/>
                <w:lang w:val="en-AU"/>
              </w:rPr>
              <w:t>inimum mandatory MRF standards that reflect packaging design standards</w:t>
            </w:r>
            <w:r>
              <w:rPr>
                <w:rFonts w:ascii="Arial" w:hAnsi="Arial" w:cs="Arial"/>
                <w:sz w:val="21"/>
                <w:szCs w:val="21"/>
                <w:lang w:val="en-AU"/>
              </w:rPr>
              <w:t>.</w:t>
            </w:r>
            <w:r w:rsidRPr="005B5E50">
              <w:rPr>
                <w:rFonts w:ascii="Arial" w:hAnsi="Arial" w:cs="Arial"/>
                <w:sz w:val="21"/>
                <w:szCs w:val="21"/>
                <w:lang w:val="en-AU"/>
              </w:rPr>
              <w:t xml:space="preserve"> </w:t>
            </w:r>
          </w:p>
        </w:tc>
      </w:tr>
      <w:tr w:rsidR="00DF5C05" w:rsidRPr="001E0AF3" w14:paraId="561A26BD" w14:textId="77777777" w:rsidTr="00B02044">
        <w:tc>
          <w:tcPr>
            <w:tcW w:w="3539" w:type="dxa"/>
            <w:vMerge/>
          </w:tcPr>
          <w:p w14:paraId="5D59277C" w14:textId="4665FF59" w:rsidR="00DF5C05" w:rsidRDefault="00DF5C05" w:rsidP="006D6565">
            <w:pPr>
              <w:rPr>
                <w:rFonts w:ascii="Arial" w:hAnsi="Arial" w:cs="Arial"/>
                <w:sz w:val="21"/>
                <w:szCs w:val="21"/>
              </w:rPr>
            </w:pPr>
          </w:p>
        </w:tc>
        <w:tc>
          <w:tcPr>
            <w:tcW w:w="5477" w:type="dxa"/>
          </w:tcPr>
          <w:p w14:paraId="404C9C6F" w14:textId="726C1329" w:rsidR="00DF5C05" w:rsidRPr="001E0AF3" w:rsidRDefault="00DF5C05" w:rsidP="006D6565">
            <w:pPr>
              <w:rPr>
                <w:rFonts w:ascii="Arial" w:hAnsi="Arial" w:cs="Arial"/>
                <w:sz w:val="24"/>
                <w:szCs w:val="24"/>
              </w:rPr>
            </w:pPr>
            <w:r w:rsidRPr="00A76C2A">
              <w:rPr>
                <w:rFonts w:ascii="Arial" w:hAnsi="Arial" w:cs="Arial"/>
                <w:sz w:val="21"/>
                <w:szCs w:val="21"/>
                <w:lang w:val="en-AU"/>
              </w:rPr>
              <w:t>Ensure adequate systems and services for all waste sources outside of residential sources</w:t>
            </w:r>
            <w:r>
              <w:rPr>
                <w:rFonts w:ascii="Arial" w:hAnsi="Arial" w:cs="Arial"/>
                <w:sz w:val="21"/>
                <w:szCs w:val="21"/>
                <w:lang w:val="en-AU"/>
              </w:rPr>
              <w:t>,</w:t>
            </w:r>
            <w:r w:rsidRPr="00A76C2A">
              <w:rPr>
                <w:rFonts w:ascii="Arial" w:hAnsi="Arial" w:cs="Arial"/>
                <w:sz w:val="21"/>
                <w:szCs w:val="21"/>
                <w:lang w:val="en-AU"/>
              </w:rPr>
              <w:t xml:space="preserve"> such as commercial and resource management centres.</w:t>
            </w:r>
          </w:p>
        </w:tc>
      </w:tr>
      <w:tr w:rsidR="003167CE" w:rsidRPr="001E0AF3" w14:paraId="600704AA" w14:textId="77777777" w:rsidTr="00B02044">
        <w:tc>
          <w:tcPr>
            <w:tcW w:w="3539" w:type="dxa"/>
          </w:tcPr>
          <w:p w14:paraId="4804E091" w14:textId="0E04E90A" w:rsidR="003167CE" w:rsidRDefault="009A5D86" w:rsidP="00E155AD">
            <w:pPr>
              <w:spacing w:line="278" w:lineRule="auto"/>
              <w:rPr>
                <w:rFonts w:ascii="Arial" w:hAnsi="Arial" w:cs="Arial"/>
                <w:sz w:val="21"/>
                <w:szCs w:val="21"/>
              </w:rPr>
            </w:pPr>
            <w:r w:rsidRPr="00F82376">
              <w:rPr>
                <w:rFonts w:ascii="Arial" w:hAnsi="Arial" w:cs="Arial"/>
                <w:sz w:val="21"/>
                <w:szCs w:val="21"/>
              </w:rPr>
              <w:t>Increase access to recycled content</w:t>
            </w:r>
            <w:r w:rsidR="00D06C60" w:rsidRPr="00F82376">
              <w:rPr>
                <w:rFonts w:ascii="Arial" w:hAnsi="Arial" w:cs="Arial"/>
                <w:sz w:val="21"/>
                <w:szCs w:val="21"/>
              </w:rPr>
              <w:t>.</w:t>
            </w:r>
            <w:r>
              <w:rPr>
                <w:rFonts w:ascii="Arial" w:hAnsi="Arial" w:cs="Arial"/>
                <w:sz w:val="21"/>
                <w:szCs w:val="21"/>
              </w:rPr>
              <w:t xml:space="preserve"> </w:t>
            </w:r>
          </w:p>
        </w:tc>
        <w:tc>
          <w:tcPr>
            <w:tcW w:w="5477" w:type="dxa"/>
          </w:tcPr>
          <w:p w14:paraId="7E2802F9" w14:textId="503BF4C1" w:rsidR="003167CE" w:rsidRPr="001E0AF3" w:rsidRDefault="007C046C" w:rsidP="006D6565">
            <w:pPr>
              <w:rPr>
                <w:rFonts w:ascii="Arial" w:hAnsi="Arial" w:cs="Arial"/>
                <w:sz w:val="24"/>
                <w:szCs w:val="24"/>
              </w:rPr>
            </w:pPr>
            <w:r>
              <w:rPr>
                <w:rFonts w:ascii="Arial" w:hAnsi="Arial" w:cs="Arial"/>
                <w:sz w:val="21"/>
                <w:szCs w:val="21"/>
              </w:rPr>
              <w:t>W</w:t>
            </w:r>
            <w:r w:rsidRPr="002C280F">
              <w:rPr>
                <w:rFonts w:ascii="Arial" w:hAnsi="Arial" w:cs="Arial"/>
                <w:sz w:val="21"/>
                <w:szCs w:val="21"/>
              </w:rPr>
              <w:t>aste export bans are revised to allow the free trade of proven, traceable recycled commodities</w:t>
            </w:r>
            <w:r w:rsidR="00E155AD">
              <w:rPr>
                <w:rFonts w:ascii="Arial" w:hAnsi="Arial" w:cs="Arial"/>
                <w:sz w:val="21"/>
                <w:szCs w:val="21"/>
              </w:rPr>
              <w:t>.</w:t>
            </w:r>
          </w:p>
        </w:tc>
      </w:tr>
      <w:tr w:rsidR="00134F46" w:rsidRPr="001E0AF3" w14:paraId="6A0DF9CE" w14:textId="77777777" w:rsidTr="00B02044">
        <w:tc>
          <w:tcPr>
            <w:tcW w:w="3539" w:type="dxa"/>
          </w:tcPr>
          <w:p w14:paraId="0DACE831" w14:textId="4B950145" w:rsidR="00134F46" w:rsidRDefault="00AB60BA" w:rsidP="006D6565">
            <w:pPr>
              <w:rPr>
                <w:rFonts w:ascii="Arial" w:hAnsi="Arial" w:cs="Arial"/>
                <w:sz w:val="21"/>
                <w:szCs w:val="21"/>
              </w:rPr>
            </w:pPr>
            <w:r>
              <w:rPr>
                <w:rFonts w:ascii="Arial" w:hAnsi="Arial" w:cs="Arial"/>
                <w:sz w:val="21"/>
                <w:szCs w:val="21"/>
              </w:rPr>
              <w:t xml:space="preserve">Certification and trust </w:t>
            </w:r>
            <w:r w:rsidR="00FB1D0B">
              <w:rPr>
                <w:rFonts w:ascii="Arial" w:hAnsi="Arial" w:cs="Arial"/>
                <w:sz w:val="21"/>
                <w:szCs w:val="21"/>
              </w:rPr>
              <w:t>for</w:t>
            </w:r>
            <w:r>
              <w:rPr>
                <w:rFonts w:ascii="Arial" w:hAnsi="Arial" w:cs="Arial"/>
                <w:sz w:val="21"/>
                <w:szCs w:val="21"/>
              </w:rPr>
              <w:t xml:space="preserve"> the purchasing of</w:t>
            </w:r>
            <w:r w:rsidR="00FB1D0B">
              <w:rPr>
                <w:rFonts w:ascii="Arial" w:hAnsi="Arial" w:cs="Arial"/>
                <w:sz w:val="21"/>
                <w:szCs w:val="21"/>
              </w:rPr>
              <w:t xml:space="preserve"> post-</w:t>
            </w:r>
            <w:r w:rsidR="00A1693F">
              <w:rPr>
                <w:rFonts w:ascii="Arial" w:hAnsi="Arial" w:cs="Arial"/>
                <w:sz w:val="21"/>
                <w:szCs w:val="21"/>
              </w:rPr>
              <w:t>consumer</w:t>
            </w:r>
            <w:r w:rsidR="00CF31DE">
              <w:rPr>
                <w:rFonts w:ascii="Arial" w:hAnsi="Arial" w:cs="Arial"/>
                <w:sz w:val="21"/>
                <w:szCs w:val="21"/>
              </w:rPr>
              <w:t xml:space="preserve"> recycled content (PCR)</w:t>
            </w:r>
            <w:r w:rsidR="001520F5">
              <w:rPr>
                <w:rFonts w:ascii="Arial" w:hAnsi="Arial" w:cs="Arial"/>
                <w:sz w:val="21"/>
                <w:szCs w:val="21"/>
              </w:rPr>
              <w:t>.</w:t>
            </w:r>
            <w:r w:rsidR="009D5A8D">
              <w:rPr>
                <w:rFonts w:ascii="Arial" w:hAnsi="Arial" w:cs="Arial"/>
                <w:sz w:val="21"/>
                <w:szCs w:val="21"/>
              </w:rPr>
              <w:t xml:space="preserve"> </w:t>
            </w:r>
          </w:p>
        </w:tc>
        <w:tc>
          <w:tcPr>
            <w:tcW w:w="5477" w:type="dxa"/>
          </w:tcPr>
          <w:p w14:paraId="3D54675C" w14:textId="4DE3C220" w:rsidR="00134F46" w:rsidRDefault="00BF11BF" w:rsidP="002C280F">
            <w:pPr>
              <w:spacing w:line="278" w:lineRule="auto"/>
              <w:rPr>
                <w:rFonts w:ascii="Arial" w:hAnsi="Arial" w:cs="Arial"/>
                <w:sz w:val="21"/>
                <w:szCs w:val="21"/>
              </w:rPr>
            </w:pPr>
            <w:r>
              <w:rPr>
                <w:rFonts w:ascii="Arial" w:hAnsi="Arial" w:cs="Arial"/>
                <w:sz w:val="21"/>
                <w:szCs w:val="21"/>
              </w:rPr>
              <w:t>M</w:t>
            </w:r>
            <w:r w:rsidRPr="003E3B57">
              <w:rPr>
                <w:rFonts w:ascii="Arial" w:hAnsi="Arial" w:cs="Arial"/>
                <w:sz w:val="21"/>
                <w:szCs w:val="21"/>
              </w:rPr>
              <w:t>andatory traceability PCR</w:t>
            </w:r>
            <w:r w:rsidR="007B6199">
              <w:rPr>
                <w:rFonts w:ascii="Arial" w:hAnsi="Arial" w:cs="Arial"/>
                <w:sz w:val="21"/>
                <w:szCs w:val="21"/>
              </w:rPr>
              <w:t xml:space="preserve"> </w:t>
            </w:r>
            <w:r w:rsidRPr="003E3B57">
              <w:rPr>
                <w:rFonts w:ascii="Arial" w:hAnsi="Arial" w:cs="Arial"/>
                <w:sz w:val="21"/>
                <w:szCs w:val="21"/>
              </w:rPr>
              <w:t>from collection/MRF to packaging</w:t>
            </w:r>
            <w:r>
              <w:rPr>
                <w:rFonts w:ascii="Arial" w:hAnsi="Arial" w:cs="Arial"/>
                <w:sz w:val="21"/>
                <w:szCs w:val="21"/>
              </w:rPr>
              <w:t xml:space="preserve"> for a</w:t>
            </w:r>
            <w:r w:rsidRPr="003E3B57">
              <w:rPr>
                <w:rFonts w:ascii="Arial" w:hAnsi="Arial" w:cs="Arial"/>
                <w:sz w:val="21"/>
                <w:szCs w:val="21"/>
              </w:rPr>
              <w:t xml:space="preserve"> whole of system</w:t>
            </w:r>
            <w:r>
              <w:rPr>
                <w:rFonts w:ascii="Arial" w:hAnsi="Arial" w:cs="Arial"/>
                <w:sz w:val="21"/>
                <w:szCs w:val="21"/>
              </w:rPr>
              <w:t xml:space="preserve"> approach</w:t>
            </w:r>
            <w:r w:rsidR="00006F68">
              <w:rPr>
                <w:rFonts w:ascii="Arial" w:hAnsi="Arial" w:cs="Arial"/>
                <w:sz w:val="21"/>
                <w:szCs w:val="21"/>
              </w:rPr>
              <w:t xml:space="preserve"> with acknowledgement of international traceability certifications</w:t>
            </w:r>
            <w:r w:rsidR="000748A5">
              <w:rPr>
                <w:rFonts w:ascii="Arial" w:hAnsi="Arial" w:cs="Arial"/>
                <w:sz w:val="21"/>
                <w:szCs w:val="21"/>
              </w:rPr>
              <w:t>.</w:t>
            </w:r>
          </w:p>
        </w:tc>
      </w:tr>
    </w:tbl>
    <w:p w14:paraId="384213F8" w14:textId="4F921ACE" w:rsidR="009B014E" w:rsidRDefault="009B014E" w:rsidP="002C2882">
      <w:pPr>
        <w:spacing w:line="278" w:lineRule="auto"/>
        <w:rPr>
          <w:rFonts w:ascii="Arial" w:hAnsi="Arial" w:cs="Arial"/>
          <w:sz w:val="21"/>
          <w:szCs w:val="21"/>
        </w:rPr>
      </w:pPr>
    </w:p>
    <w:p w14:paraId="4982BD14" w14:textId="1EFC00C3" w:rsidR="000F4D3E" w:rsidRPr="001001AA" w:rsidRDefault="000F4D3E" w:rsidP="000F4D3E">
      <w:pPr>
        <w:spacing w:line="278" w:lineRule="auto"/>
        <w:rPr>
          <w:rFonts w:ascii="Arial" w:hAnsi="Arial" w:cs="Arial"/>
          <w:b/>
          <w:sz w:val="21"/>
          <w:szCs w:val="21"/>
        </w:rPr>
      </w:pPr>
      <w:r w:rsidRPr="001001AA">
        <w:rPr>
          <w:rFonts w:ascii="Arial" w:hAnsi="Arial" w:cs="Arial"/>
          <w:b/>
          <w:sz w:val="21"/>
          <w:szCs w:val="21"/>
        </w:rPr>
        <w:t xml:space="preserve">Traceability </w:t>
      </w:r>
    </w:p>
    <w:tbl>
      <w:tblPr>
        <w:tblStyle w:val="TableGrid"/>
        <w:tblW w:w="0" w:type="auto"/>
        <w:tblLook w:val="04A0" w:firstRow="1" w:lastRow="0" w:firstColumn="1" w:lastColumn="0" w:noHBand="0" w:noVBand="1"/>
      </w:tblPr>
      <w:tblGrid>
        <w:gridCol w:w="3539"/>
        <w:gridCol w:w="5477"/>
      </w:tblGrid>
      <w:tr w:rsidR="000F4D3E" w:rsidRPr="001E0AF3" w14:paraId="0B108D51" w14:textId="77777777" w:rsidTr="000F4D3E">
        <w:tc>
          <w:tcPr>
            <w:tcW w:w="3539" w:type="dxa"/>
            <w:shd w:val="clear" w:color="auto" w:fill="73A6B7"/>
          </w:tcPr>
          <w:p w14:paraId="60B8809E" w14:textId="1A719BFD" w:rsidR="000F4D3E" w:rsidRDefault="000F4D3E" w:rsidP="000F4D3E">
            <w:pPr>
              <w:spacing w:line="278" w:lineRule="auto"/>
              <w:rPr>
                <w:rFonts w:ascii="Arial" w:hAnsi="Arial" w:cs="Arial"/>
                <w:sz w:val="21"/>
                <w:szCs w:val="21"/>
              </w:rPr>
            </w:pPr>
            <w:r>
              <w:rPr>
                <w:rFonts w:ascii="Arial" w:hAnsi="Arial" w:cs="Arial"/>
                <w:sz w:val="21"/>
                <w:szCs w:val="21"/>
              </w:rPr>
              <w:t xml:space="preserve">Goals </w:t>
            </w:r>
          </w:p>
        </w:tc>
        <w:tc>
          <w:tcPr>
            <w:tcW w:w="5477" w:type="dxa"/>
            <w:shd w:val="clear" w:color="auto" w:fill="73A6B7"/>
          </w:tcPr>
          <w:p w14:paraId="212B094D" w14:textId="7CDB2E8B" w:rsidR="000F4D3E" w:rsidRDefault="000F4D3E" w:rsidP="000F4D3E">
            <w:pPr>
              <w:spacing w:line="278" w:lineRule="auto"/>
              <w:rPr>
                <w:rFonts w:ascii="Arial" w:hAnsi="Arial" w:cs="Arial"/>
                <w:sz w:val="21"/>
                <w:szCs w:val="21"/>
              </w:rPr>
            </w:pPr>
            <w:r>
              <w:rPr>
                <w:rFonts w:ascii="Arial" w:hAnsi="Arial" w:cs="Arial"/>
                <w:sz w:val="21"/>
                <w:szCs w:val="21"/>
              </w:rPr>
              <w:t xml:space="preserve">Policy Action </w:t>
            </w:r>
          </w:p>
        </w:tc>
      </w:tr>
      <w:tr w:rsidR="000F4D3E" w:rsidRPr="001E0AF3" w14:paraId="3A6C0D3F" w14:textId="77777777" w:rsidTr="000F4D3E">
        <w:tc>
          <w:tcPr>
            <w:tcW w:w="3539" w:type="dxa"/>
          </w:tcPr>
          <w:p w14:paraId="150A14B3" w14:textId="203BE685" w:rsidR="000F4D3E" w:rsidRDefault="00B124E2" w:rsidP="000F4D3E">
            <w:pPr>
              <w:spacing w:line="278" w:lineRule="auto"/>
              <w:rPr>
                <w:rFonts w:ascii="Arial" w:hAnsi="Arial" w:cs="Arial"/>
                <w:sz w:val="21"/>
                <w:szCs w:val="21"/>
              </w:rPr>
            </w:pPr>
            <w:r>
              <w:rPr>
                <w:rFonts w:ascii="Arial" w:hAnsi="Arial" w:cs="Arial"/>
                <w:sz w:val="21"/>
                <w:szCs w:val="21"/>
              </w:rPr>
              <w:t>P</w:t>
            </w:r>
            <w:r w:rsidRPr="002C2882">
              <w:rPr>
                <w:rFonts w:ascii="Arial" w:hAnsi="Arial" w:cs="Arial"/>
                <w:sz w:val="21"/>
                <w:szCs w:val="21"/>
              </w:rPr>
              <w:t xml:space="preserve">revent unscrupulous recyclers </w:t>
            </w:r>
            <w:r w:rsidR="00126E18">
              <w:rPr>
                <w:rFonts w:ascii="Arial" w:hAnsi="Arial" w:cs="Arial"/>
                <w:sz w:val="21"/>
                <w:szCs w:val="21"/>
              </w:rPr>
              <w:t xml:space="preserve">and other players </w:t>
            </w:r>
            <w:r w:rsidR="00A71F5D">
              <w:rPr>
                <w:rFonts w:ascii="Arial" w:hAnsi="Arial" w:cs="Arial"/>
                <w:sz w:val="21"/>
                <w:szCs w:val="21"/>
              </w:rPr>
              <w:t>across the value chain</w:t>
            </w:r>
            <w:r w:rsidR="00126E18">
              <w:rPr>
                <w:rFonts w:ascii="Arial" w:hAnsi="Arial" w:cs="Arial"/>
                <w:sz w:val="21"/>
                <w:szCs w:val="21"/>
              </w:rPr>
              <w:t xml:space="preserve"> </w:t>
            </w:r>
            <w:r w:rsidRPr="002C2882">
              <w:rPr>
                <w:rFonts w:ascii="Arial" w:hAnsi="Arial" w:cs="Arial"/>
                <w:sz w:val="21"/>
                <w:szCs w:val="21"/>
              </w:rPr>
              <w:t>from passing virgin materials off as PCR, therefore undermining capital investment and placing brand owners at risk of greenwashing</w:t>
            </w:r>
            <w:r w:rsidR="00A71F5D">
              <w:rPr>
                <w:rFonts w:ascii="Arial" w:hAnsi="Arial" w:cs="Arial"/>
                <w:sz w:val="21"/>
                <w:szCs w:val="21"/>
              </w:rPr>
              <w:t xml:space="preserve">. </w:t>
            </w:r>
          </w:p>
        </w:tc>
        <w:tc>
          <w:tcPr>
            <w:tcW w:w="5477" w:type="dxa"/>
          </w:tcPr>
          <w:p w14:paraId="39265A27" w14:textId="6976312E" w:rsidR="00FF6503" w:rsidRPr="002C2882" w:rsidRDefault="00B60899" w:rsidP="002C2882">
            <w:pPr>
              <w:spacing w:line="278" w:lineRule="auto"/>
              <w:rPr>
                <w:rFonts w:ascii="Arial" w:hAnsi="Arial" w:cs="Arial"/>
                <w:sz w:val="21"/>
                <w:szCs w:val="21"/>
              </w:rPr>
            </w:pPr>
            <w:r>
              <w:rPr>
                <w:rFonts w:ascii="Arial" w:hAnsi="Arial" w:cs="Arial"/>
                <w:sz w:val="21"/>
                <w:szCs w:val="21"/>
              </w:rPr>
              <w:t>National Framework for Recycled Content Traceability is</w:t>
            </w:r>
            <w:r w:rsidR="00A71F5D">
              <w:rPr>
                <w:rFonts w:ascii="Arial" w:hAnsi="Arial" w:cs="Arial"/>
                <w:sz w:val="21"/>
                <w:szCs w:val="21"/>
              </w:rPr>
              <w:t xml:space="preserve"> mandatory. </w:t>
            </w:r>
          </w:p>
          <w:p w14:paraId="3EC8DA50" w14:textId="77777777" w:rsidR="000F4D3E" w:rsidRDefault="000F4D3E" w:rsidP="000F4D3E">
            <w:pPr>
              <w:spacing w:line="278" w:lineRule="auto"/>
              <w:rPr>
                <w:rFonts w:ascii="Arial" w:hAnsi="Arial" w:cs="Arial"/>
                <w:sz w:val="21"/>
                <w:szCs w:val="21"/>
              </w:rPr>
            </w:pPr>
          </w:p>
        </w:tc>
      </w:tr>
    </w:tbl>
    <w:p w14:paraId="09DC1B9F" w14:textId="77777777" w:rsidR="000F4D3E" w:rsidRPr="000F4D3E" w:rsidRDefault="000F4D3E" w:rsidP="000F4D3E">
      <w:pPr>
        <w:spacing w:line="278" w:lineRule="auto"/>
        <w:rPr>
          <w:rFonts w:ascii="Arial" w:hAnsi="Arial" w:cs="Arial"/>
          <w:sz w:val="21"/>
          <w:szCs w:val="21"/>
        </w:rPr>
      </w:pPr>
    </w:p>
    <w:p w14:paraId="4FCE003F" w14:textId="105B053E" w:rsidR="00A71F5D" w:rsidRPr="00616296" w:rsidRDefault="00A71F5D" w:rsidP="005A3F79">
      <w:pPr>
        <w:rPr>
          <w:rFonts w:ascii="Arial" w:hAnsi="Arial" w:cs="Arial"/>
          <w:b/>
          <w:bCs/>
          <w:sz w:val="21"/>
          <w:szCs w:val="21"/>
        </w:rPr>
      </w:pPr>
      <w:r w:rsidRPr="00616296">
        <w:rPr>
          <w:rFonts w:ascii="Arial" w:hAnsi="Arial" w:cs="Arial"/>
          <w:b/>
          <w:bCs/>
          <w:sz w:val="21"/>
          <w:szCs w:val="21"/>
        </w:rPr>
        <w:lastRenderedPageBreak/>
        <w:t xml:space="preserve">Governance </w:t>
      </w:r>
    </w:p>
    <w:tbl>
      <w:tblPr>
        <w:tblStyle w:val="TableGrid"/>
        <w:tblW w:w="0" w:type="auto"/>
        <w:tblLook w:val="04A0" w:firstRow="1" w:lastRow="0" w:firstColumn="1" w:lastColumn="0" w:noHBand="0" w:noVBand="1"/>
      </w:tblPr>
      <w:tblGrid>
        <w:gridCol w:w="3539"/>
        <w:gridCol w:w="5477"/>
      </w:tblGrid>
      <w:tr w:rsidR="008E429F" w:rsidRPr="001E0AF3" w14:paraId="0DC12AB9" w14:textId="77777777" w:rsidTr="008E429F">
        <w:tc>
          <w:tcPr>
            <w:tcW w:w="3539" w:type="dxa"/>
            <w:shd w:val="clear" w:color="auto" w:fill="73A6B7"/>
          </w:tcPr>
          <w:p w14:paraId="1274712B" w14:textId="764830E8" w:rsidR="008E429F" w:rsidRDefault="008E429F" w:rsidP="005A3F79">
            <w:pPr>
              <w:rPr>
                <w:rFonts w:ascii="Arial" w:hAnsi="Arial" w:cs="Arial"/>
                <w:sz w:val="21"/>
                <w:szCs w:val="21"/>
              </w:rPr>
            </w:pPr>
            <w:r>
              <w:rPr>
                <w:rFonts w:ascii="Arial" w:hAnsi="Arial" w:cs="Arial"/>
                <w:sz w:val="21"/>
                <w:szCs w:val="21"/>
              </w:rPr>
              <w:t xml:space="preserve">Goals </w:t>
            </w:r>
          </w:p>
        </w:tc>
        <w:tc>
          <w:tcPr>
            <w:tcW w:w="5477" w:type="dxa"/>
            <w:shd w:val="clear" w:color="auto" w:fill="73A6B7"/>
          </w:tcPr>
          <w:p w14:paraId="18263B64" w14:textId="21A05957" w:rsidR="008E429F" w:rsidRDefault="008E429F" w:rsidP="005A3F79">
            <w:pPr>
              <w:rPr>
                <w:rFonts w:ascii="Arial" w:hAnsi="Arial" w:cs="Arial"/>
                <w:sz w:val="21"/>
                <w:szCs w:val="21"/>
              </w:rPr>
            </w:pPr>
            <w:r>
              <w:rPr>
                <w:rFonts w:ascii="Arial" w:hAnsi="Arial" w:cs="Arial"/>
                <w:sz w:val="21"/>
                <w:szCs w:val="21"/>
              </w:rPr>
              <w:t>Policy Action</w:t>
            </w:r>
          </w:p>
        </w:tc>
      </w:tr>
      <w:tr w:rsidR="00C3131D" w:rsidRPr="001E0AF3" w14:paraId="133395DE" w14:textId="77777777" w:rsidTr="008E429F">
        <w:tc>
          <w:tcPr>
            <w:tcW w:w="3539" w:type="dxa"/>
            <w:vMerge w:val="restart"/>
          </w:tcPr>
          <w:p w14:paraId="4690A1F2" w14:textId="3A6E463E" w:rsidR="00C3131D" w:rsidRDefault="00C3131D" w:rsidP="005A3F79">
            <w:pPr>
              <w:rPr>
                <w:rFonts w:ascii="Arial" w:hAnsi="Arial" w:cs="Arial"/>
                <w:sz w:val="21"/>
                <w:szCs w:val="21"/>
              </w:rPr>
            </w:pPr>
            <w:r>
              <w:rPr>
                <w:rFonts w:ascii="Arial" w:hAnsi="Arial" w:cs="Arial"/>
                <w:sz w:val="21"/>
                <w:szCs w:val="21"/>
              </w:rPr>
              <w:t xml:space="preserve">Effective and efficient EPR model underpinned by the Best Practice </w:t>
            </w:r>
            <w:r w:rsidR="00B85A21">
              <w:rPr>
                <w:rFonts w:ascii="Arial" w:hAnsi="Arial" w:cs="Arial"/>
                <w:sz w:val="21"/>
                <w:szCs w:val="21"/>
              </w:rPr>
              <w:t xml:space="preserve">EPR </w:t>
            </w:r>
            <w:r>
              <w:rPr>
                <w:rFonts w:ascii="Arial" w:hAnsi="Arial" w:cs="Arial"/>
                <w:sz w:val="21"/>
                <w:szCs w:val="21"/>
              </w:rPr>
              <w:t xml:space="preserve">Principles in Section </w:t>
            </w:r>
            <w:r w:rsidR="00BC30A0">
              <w:rPr>
                <w:rFonts w:ascii="Arial" w:hAnsi="Arial" w:cs="Arial"/>
                <w:sz w:val="21"/>
                <w:szCs w:val="21"/>
              </w:rPr>
              <w:t>2</w:t>
            </w:r>
            <w:r>
              <w:rPr>
                <w:rFonts w:ascii="Arial" w:hAnsi="Arial" w:cs="Arial"/>
                <w:sz w:val="21"/>
                <w:szCs w:val="21"/>
              </w:rPr>
              <w:t xml:space="preserve">. </w:t>
            </w:r>
          </w:p>
        </w:tc>
        <w:tc>
          <w:tcPr>
            <w:tcW w:w="5477" w:type="dxa"/>
          </w:tcPr>
          <w:p w14:paraId="35A1973B" w14:textId="5723F169" w:rsidR="00C3131D" w:rsidRDefault="00C3131D" w:rsidP="00616296">
            <w:pPr>
              <w:spacing w:after="120" w:line="278" w:lineRule="auto"/>
              <w:rPr>
                <w:rFonts w:ascii="Arial" w:hAnsi="Arial" w:cs="Arial"/>
                <w:sz w:val="21"/>
                <w:szCs w:val="21"/>
              </w:rPr>
            </w:pPr>
            <w:r w:rsidRPr="00027919">
              <w:rPr>
                <w:rFonts w:ascii="Arial" w:hAnsi="Arial" w:cs="Arial"/>
                <w:sz w:val="21"/>
                <w:szCs w:val="21"/>
              </w:rPr>
              <w:t>Eco-modulated levies based on tonnes placed on market are paid to a scheme administrator (not government), with 100% of funds reinvested back into solutions for collection and reprocessing of packaging, packaging innovation,</w:t>
            </w:r>
            <w:r>
              <w:rPr>
                <w:rFonts w:ascii="Arial" w:hAnsi="Arial" w:cs="Arial"/>
                <w:sz w:val="21"/>
                <w:szCs w:val="21"/>
              </w:rPr>
              <w:t xml:space="preserve"> </w:t>
            </w:r>
            <w:r w:rsidRPr="00027919">
              <w:rPr>
                <w:rFonts w:ascii="Arial" w:hAnsi="Arial" w:cs="Arial"/>
                <w:sz w:val="21"/>
                <w:szCs w:val="21"/>
              </w:rPr>
              <w:t>and household education and behaviour change programs.</w:t>
            </w:r>
          </w:p>
        </w:tc>
      </w:tr>
      <w:tr w:rsidR="00C3131D" w:rsidRPr="001E0AF3" w14:paraId="079FC2ED" w14:textId="77777777" w:rsidTr="008E429F">
        <w:tc>
          <w:tcPr>
            <w:tcW w:w="3539" w:type="dxa"/>
            <w:vMerge/>
          </w:tcPr>
          <w:p w14:paraId="3D091A8C" w14:textId="77777777" w:rsidR="00C3131D" w:rsidRDefault="00C3131D" w:rsidP="005A3F79">
            <w:pPr>
              <w:rPr>
                <w:rFonts w:ascii="Arial" w:hAnsi="Arial" w:cs="Arial"/>
                <w:sz w:val="21"/>
                <w:szCs w:val="21"/>
              </w:rPr>
            </w:pPr>
          </w:p>
        </w:tc>
        <w:tc>
          <w:tcPr>
            <w:tcW w:w="5477" w:type="dxa"/>
          </w:tcPr>
          <w:p w14:paraId="214C4FD8" w14:textId="185DF2E0" w:rsidR="00C3131D" w:rsidRDefault="00C3131D" w:rsidP="00616296">
            <w:pPr>
              <w:spacing w:after="120" w:line="278" w:lineRule="auto"/>
              <w:rPr>
                <w:rFonts w:ascii="Arial" w:hAnsi="Arial" w:cs="Arial"/>
                <w:sz w:val="21"/>
                <w:szCs w:val="21"/>
              </w:rPr>
            </w:pPr>
            <w:r w:rsidRPr="0097685B">
              <w:rPr>
                <w:rFonts w:ascii="Arial" w:hAnsi="Arial" w:cs="Arial"/>
                <w:sz w:val="21"/>
                <w:szCs w:val="21"/>
              </w:rPr>
              <w:t>Strong data collection and transparency regarding movement of packaging through the collection and recycling system to track and communicate outcomes.</w:t>
            </w:r>
          </w:p>
        </w:tc>
      </w:tr>
      <w:tr w:rsidR="00C3131D" w:rsidRPr="001E0AF3" w14:paraId="2092AEDB" w14:textId="77777777" w:rsidTr="008E429F">
        <w:tc>
          <w:tcPr>
            <w:tcW w:w="3539" w:type="dxa"/>
            <w:vMerge/>
          </w:tcPr>
          <w:p w14:paraId="1705AD15" w14:textId="77777777" w:rsidR="00C3131D" w:rsidRDefault="00C3131D" w:rsidP="005A3F79">
            <w:pPr>
              <w:rPr>
                <w:rFonts w:ascii="Arial" w:hAnsi="Arial" w:cs="Arial"/>
                <w:sz w:val="21"/>
                <w:szCs w:val="21"/>
              </w:rPr>
            </w:pPr>
          </w:p>
        </w:tc>
        <w:tc>
          <w:tcPr>
            <w:tcW w:w="5477" w:type="dxa"/>
          </w:tcPr>
          <w:p w14:paraId="4FCDADD5" w14:textId="6C779459" w:rsidR="00C3131D" w:rsidRDefault="00C3131D" w:rsidP="00616296">
            <w:pPr>
              <w:spacing w:after="120" w:line="278" w:lineRule="auto"/>
              <w:rPr>
                <w:rFonts w:ascii="Arial" w:hAnsi="Arial" w:cs="Arial"/>
                <w:sz w:val="21"/>
                <w:szCs w:val="21"/>
              </w:rPr>
            </w:pPr>
            <w:r w:rsidRPr="00867491">
              <w:rPr>
                <w:rFonts w:ascii="Arial" w:hAnsi="Arial" w:cs="Arial"/>
                <w:sz w:val="21"/>
                <w:szCs w:val="21"/>
              </w:rPr>
              <w:t>Legislation enables cost recovery for brand owners</w:t>
            </w:r>
            <w:r>
              <w:rPr>
                <w:rFonts w:ascii="Arial" w:hAnsi="Arial" w:cs="Arial"/>
                <w:sz w:val="21"/>
                <w:szCs w:val="21"/>
              </w:rPr>
              <w:t>.</w:t>
            </w:r>
          </w:p>
        </w:tc>
      </w:tr>
      <w:tr w:rsidR="00C3131D" w:rsidRPr="001E0AF3" w14:paraId="00D5A351" w14:textId="77777777" w:rsidTr="008E429F">
        <w:tc>
          <w:tcPr>
            <w:tcW w:w="3539" w:type="dxa"/>
            <w:vMerge/>
          </w:tcPr>
          <w:p w14:paraId="13D9B846" w14:textId="77777777" w:rsidR="00C3131D" w:rsidRDefault="00C3131D" w:rsidP="005A3F79">
            <w:pPr>
              <w:rPr>
                <w:rFonts w:ascii="Arial" w:hAnsi="Arial" w:cs="Arial"/>
                <w:sz w:val="21"/>
                <w:szCs w:val="21"/>
              </w:rPr>
            </w:pPr>
          </w:p>
        </w:tc>
        <w:tc>
          <w:tcPr>
            <w:tcW w:w="5477" w:type="dxa"/>
          </w:tcPr>
          <w:p w14:paraId="227F1858" w14:textId="3EC6D21E" w:rsidR="00C3131D" w:rsidRPr="00867491" w:rsidRDefault="00C3131D" w:rsidP="00C3423F">
            <w:pPr>
              <w:spacing w:line="278" w:lineRule="auto"/>
              <w:rPr>
                <w:rFonts w:ascii="Arial" w:hAnsi="Arial" w:cs="Arial"/>
                <w:sz w:val="21"/>
                <w:szCs w:val="21"/>
              </w:rPr>
            </w:pPr>
            <w:r w:rsidRPr="00C02DE7">
              <w:rPr>
                <w:rFonts w:ascii="Arial" w:hAnsi="Arial" w:cs="Arial"/>
                <w:sz w:val="21"/>
                <w:szCs w:val="21"/>
              </w:rPr>
              <w:t>There is no double dip of recycling costs on community to unnecessarily increase the cost of living for households (e.g. council rates and on retailer shelves)</w:t>
            </w:r>
            <w:r>
              <w:rPr>
                <w:rFonts w:ascii="Arial" w:hAnsi="Arial" w:cs="Arial"/>
                <w:sz w:val="21"/>
                <w:szCs w:val="21"/>
              </w:rPr>
              <w:t>.</w:t>
            </w:r>
          </w:p>
        </w:tc>
      </w:tr>
    </w:tbl>
    <w:p w14:paraId="3914195E" w14:textId="77777777" w:rsidR="008E429F" w:rsidRDefault="008E429F" w:rsidP="005A3F79">
      <w:pPr>
        <w:rPr>
          <w:rFonts w:ascii="Arial" w:hAnsi="Arial" w:cs="Arial"/>
          <w:sz w:val="21"/>
          <w:szCs w:val="21"/>
        </w:rPr>
      </w:pPr>
    </w:p>
    <w:p w14:paraId="27990F07" w14:textId="30E7D5B1" w:rsidR="00FA6B69" w:rsidRPr="001E0AF3" w:rsidRDefault="00FA6B69" w:rsidP="00FA6B69">
      <w:pPr>
        <w:pStyle w:val="Heading2"/>
        <w:numPr>
          <w:ilvl w:val="0"/>
          <w:numId w:val="7"/>
        </w:numPr>
        <w:rPr>
          <w:rFonts w:ascii="Arial" w:hAnsi="Arial" w:cs="Arial"/>
        </w:rPr>
      </w:pPr>
      <w:r w:rsidRPr="001E0AF3">
        <w:rPr>
          <w:rFonts w:ascii="Arial" w:hAnsi="Arial" w:cs="Arial"/>
        </w:rPr>
        <w:t xml:space="preserve">Best Practices </w:t>
      </w:r>
      <w:r w:rsidR="00DB331F" w:rsidRPr="001E0AF3">
        <w:rPr>
          <w:rFonts w:ascii="Arial" w:hAnsi="Arial" w:cs="Arial"/>
        </w:rPr>
        <w:t xml:space="preserve">EPR </w:t>
      </w:r>
      <w:r w:rsidRPr="001E0AF3">
        <w:rPr>
          <w:rFonts w:ascii="Arial" w:hAnsi="Arial" w:cs="Arial"/>
        </w:rPr>
        <w:t xml:space="preserve">Principles </w:t>
      </w:r>
    </w:p>
    <w:p w14:paraId="35E23C20" w14:textId="2C5C1FB1" w:rsidR="00FA6B69" w:rsidRPr="001E0AF3" w:rsidRDefault="00FA6B69" w:rsidP="00FA6B69">
      <w:pPr>
        <w:rPr>
          <w:rFonts w:ascii="Arial" w:hAnsi="Arial" w:cs="Arial"/>
        </w:rPr>
      </w:pPr>
      <w:r w:rsidRPr="001E0AF3">
        <w:rPr>
          <w:rFonts w:ascii="Arial" w:hAnsi="Arial" w:cs="Arial"/>
        </w:rPr>
        <w:t xml:space="preserve">These principles </w:t>
      </w:r>
      <w:r w:rsidR="00C241C0">
        <w:rPr>
          <w:rFonts w:ascii="Arial" w:hAnsi="Arial" w:cs="Arial"/>
        </w:rPr>
        <w:t>a</w:t>
      </w:r>
      <w:r w:rsidRPr="001E0AF3">
        <w:rPr>
          <w:rFonts w:ascii="Arial" w:hAnsi="Arial" w:cs="Arial"/>
        </w:rPr>
        <w:t xml:space="preserve">re </w:t>
      </w:r>
      <w:r w:rsidR="00E22DAA">
        <w:rPr>
          <w:rFonts w:ascii="Arial" w:hAnsi="Arial" w:cs="Arial"/>
        </w:rPr>
        <w:t xml:space="preserve">aligned </w:t>
      </w:r>
      <w:r w:rsidRPr="001E0AF3">
        <w:rPr>
          <w:rFonts w:ascii="Arial" w:hAnsi="Arial" w:cs="Arial"/>
        </w:rPr>
        <w:t xml:space="preserve">with the best practice guidance from the </w:t>
      </w:r>
      <w:hyperlink r:id="rId10" w:history="1">
        <w:r w:rsidRPr="001E0AF3">
          <w:rPr>
            <w:rStyle w:val="Hyperlink"/>
            <w:rFonts w:ascii="Arial" w:hAnsi="Arial" w:cs="Arial"/>
          </w:rPr>
          <w:t>Extended Producer Responsibility Alliance</w:t>
        </w:r>
      </w:hyperlink>
      <w:r w:rsidRPr="001E0AF3">
        <w:rPr>
          <w:rFonts w:ascii="Arial" w:hAnsi="Arial" w:cs="Arial"/>
        </w:rPr>
        <w:t xml:space="preserve"> and the </w:t>
      </w:r>
      <w:hyperlink r:id="rId11" w:history="1">
        <w:r w:rsidRPr="001E0AF3">
          <w:rPr>
            <w:rStyle w:val="Hyperlink"/>
            <w:rFonts w:ascii="Arial" w:hAnsi="Arial" w:cs="Arial"/>
          </w:rPr>
          <w:t>Consumer Goods Forum</w:t>
        </w:r>
      </w:hyperlink>
      <w:r w:rsidRPr="001E0AF3">
        <w:rPr>
          <w:rFonts w:ascii="Arial" w:hAnsi="Arial" w:cs="Arial"/>
        </w:rPr>
        <w:t xml:space="preserve">. </w:t>
      </w:r>
    </w:p>
    <w:p w14:paraId="432958C6" w14:textId="77777777" w:rsidR="00FA6B69" w:rsidRPr="00C709CC" w:rsidRDefault="00FA6B69" w:rsidP="00FA6B69">
      <w:pPr>
        <w:numPr>
          <w:ilvl w:val="0"/>
          <w:numId w:val="4"/>
        </w:numPr>
        <w:rPr>
          <w:rFonts w:ascii="Arial" w:hAnsi="Arial" w:cs="Arial"/>
          <w:b/>
          <w:bCs/>
          <w:sz w:val="21"/>
          <w:szCs w:val="21"/>
        </w:rPr>
      </w:pPr>
      <w:r w:rsidRPr="00C709CC">
        <w:rPr>
          <w:rFonts w:ascii="Arial" w:hAnsi="Arial" w:cs="Arial"/>
          <w:b/>
          <w:bCs/>
          <w:sz w:val="21"/>
          <w:szCs w:val="21"/>
        </w:rPr>
        <w:t>EPR compliance schemes should be not-for-profit / profit-not-for-distribution.</w:t>
      </w:r>
    </w:p>
    <w:p w14:paraId="243F8E7B" w14:textId="77777777" w:rsidR="00FA6B69" w:rsidRPr="007256EE" w:rsidRDefault="00FA6B69" w:rsidP="00FA6B69">
      <w:pPr>
        <w:numPr>
          <w:ilvl w:val="0"/>
          <w:numId w:val="4"/>
        </w:numPr>
        <w:rPr>
          <w:rFonts w:ascii="Arial" w:hAnsi="Arial" w:cs="Arial"/>
          <w:sz w:val="21"/>
          <w:szCs w:val="21"/>
        </w:rPr>
      </w:pPr>
      <w:r w:rsidRPr="00C709CC">
        <w:rPr>
          <w:rFonts w:ascii="Arial" w:hAnsi="Arial" w:cs="Arial"/>
          <w:b/>
          <w:bCs/>
          <w:sz w:val="21"/>
          <w:szCs w:val="21"/>
        </w:rPr>
        <w:t xml:space="preserve">There should be a robust EPR legal framework enforced by </w:t>
      </w:r>
      <w:r>
        <w:rPr>
          <w:rFonts w:ascii="Arial" w:hAnsi="Arial" w:cs="Arial"/>
          <w:b/>
          <w:bCs/>
          <w:sz w:val="21"/>
          <w:szCs w:val="21"/>
        </w:rPr>
        <w:t xml:space="preserve">a public authority. </w:t>
      </w:r>
    </w:p>
    <w:p w14:paraId="3549C366" w14:textId="77777777" w:rsidR="00FA6B69" w:rsidRDefault="00FA6B69" w:rsidP="00FA6B69">
      <w:pPr>
        <w:numPr>
          <w:ilvl w:val="0"/>
          <w:numId w:val="4"/>
        </w:numPr>
        <w:rPr>
          <w:rFonts w:ascii="Arial" w:hAnsi="Arial" w:cs="Arial"/>
          <w:sz w:val="21"/>
          <w:szCs w:val="21"/>
        </w:rPr>
      </w:pPr>
      <w:r w:rsidRPr="00C709CC">
        <w:rPr>
          <w:rFonts w:ascii="Arial" w:hAnsi="Arial" w:cs="Arial"/>
          <w:b/>
          <w:bCs/>
          <w:sz w:val="21"/>
          <w:szCs w:val="21"/>
        </w:rPr>
        <w:t xml:space="preserve">Targets should be set in partnership with the </w:t>
      </w:r>
      <w:r w:rsidRPr="00AF282F">
        <w:rPr>
          <w:rFonts w:ascii="Arial" w:hAnsi="Arial" w:cs="Arial"/>
          <w:b/>
          <w:sz w:val="21"/>
          <w:szCs w:val="21"/>
        </w:rPr>
        <w:t>PRO and/or scheme administrator</w:t>
      </w:r>
      <w:r w:rsidRPr="00C709CC">
        <w:rPr>
          <w:rFonts w:ascii="Arial" w:hAnsi="Arial" w:cs="Arial"/>
          <w:b/>
          <w:bCs/>
          <w:sz w:val="21"/>
          <w:szCs w:val="21"/>
        </w:rPr>
        <w:t xml:space="preserve"> to ensure community expectations are met while being technically, operationally and financially viable.</w:t>
      </w:r>
      <w:r w:rsidRPr="003E3B57">
        <w:rPr>
          <w:rFonts w:ascii="Arial" w:hAnsi="Arial" w:cs="Arial"/>
          <w:sz w:val="21"/>
          <w:szCs w:val="21"/>
        </w:rPr>
        <w:t xml:space="preserve"> </w:t>
      </w:r>
      <w:r>
        <w:rPr>
          <w:rFonts w:ascii="Arial" w:hAnsi="Arial" w:cs="Arial"/>
          <w:sz w:val="21"/>
          <w:szCs w:val="21"/>
        </w:rPr>
        <w:t>For example, targets should be enforced by government but established through co-design with industry.</w:t>
      </w:r>
    </w:p>
    <w:p w14:paraId="69D9FB2A" w14:textId="77777777" w:rsidR="00FA6B69" w:rsidRPr="00C709CC" w:rsidRDefault="00FA6B69" w:rsidP="00FA6B69">
      <w:pPr>
        <w:numPr>
          <w:ilvl w:val="0"/>
          <w:numId w:val="4"/>
        </w:numPr>
        <w:rPr>
          <w:rFonts w:ascii="Arial" w:hAnsi="Arial" w:cs="Arial"/>
          <w:b/>
          <w:bCs/>
          <w:sz w:val="21"/>
          <w:szCs w:val="21"/>
        </w:rPr>
      </w:pPr>
      <w:r w:rsidRPr="00C709CC">
        <w:rPr>
          <w:rFonts w:ascii="Arial" w:hAnsi="Arial" w:cs="Arial"/>
          <w:b/>
          <w:bCs/>
          <w:sz w:val="21"/>
          <w:szCs w:val="21"/>
        </w:rPr>
        <w:t xml:space="preserve">Successful EPR must be based on a partnership between </w:t>
      </w:r>
      <w:r>
        <w:rPr>
          <w:rFonts w:ascii="Arial" w:hAnsi="Arial" w:cs="Arial"/>
          <w:b/>
          <w:bCs/>
          <w:sz w:val="21"/>
          <w:szCs w:val="21"/>
        </w:rPr>
        <w:t>the public authority</w:t>
      </w:r>
      <w:r w:rsidRPr="00C709CC">
        <w:rPr>
          <w:rFonts w:ascii="Arial" w:hAnsi="Arial" w:cs="Arial"/>
          <w:b/>
          <w:bCs/>
          <w:sz w:val="21"/>
          <w:szCs w:val="21"/>
        </w:rPr>
        <w:t xml:space="preserve"> and EPR providers.</w:t>
      </w:r>
    </w:p>
    <w:p w14:paraId="6A8575AA" w14:textId="77777777" w:rsidR="00FA6B69" w:rsidRPr="00C709CC" w:rsidRDefault="00FA6B69" w:rsidP="00FA6B69">
      <w:pPr>
        <w:numPr>
          <w:ilvl w:val="0"/>
          <w:numId w:val="4"/>
        </w:numPr>
        <w:rPr>
          <w:rFonts w:ascii="Arial" w:hAnsi="Arial" w:cs="Arial"/>
          <w:b/>
          <w:bCs/>
          <w:sz w:val="21"/>
          <w:szCs w:val="21"/>
        </w:rPr>
      </w:pPr>
      <w:r w:rsidRPr="00C709CC">
        <w:rPr>
          <w:rFonts w:ascii="Arial" w:hAnsi="Arial" w:cs="Arial"/>
          <w:b/>
          <w:bCs/>
          <w:sz w:val="21"/>
          <w:szCs w:val="21"/>
        </w:rPr>
        <w:t>There should be a level playing field for the provision of EPR services.</w:t>
      </w:r>
      <w:r>
        <w:rPr>
          <w:rFonts w:ascii="Arial" w:hAnsi="Arial" w:cs="Arial"/>
          <w:b/>
          <w:bCs/>
          <w:sz w:val="21"/>
          <w:szCs w:val="21"/>
        </w:rPr>
        <w:t xml:space="preserve"> </w:t>
      </w:r>
    </w:p>
    <w:p w14:paraId="1CFFDAD1" w14:textId="77777777" w:rsidR="00FA6B69" w:rsidRPr="003E3B57" w:rsidRDefault="00FA6B69" w:rsidP="00FA6B69">
      <w:pPr>
        <w:numPr>
          <w:ilvl w:val="0"/>
          <w:numId w:val="4"/>
        </w:numPr>
        <w:rPr>
          <w:rFonts w:ascii="Arial" w:hAnsi="Arial" w:cs="Arial"/>
          <w:sz w:val="21"/>
          <w:szCs w:val="21"/>
        </w:rPr>
      </w:pPr>
      <w:r w:rsidRPr="00C709CC">
        <w:rPr>
          <w:rFonts w:ascii="Arial" w:hAnsi="Arial" w:cs="Arial"/>
          <w:b/>
          <w:bCs/>
          <w:sz w:val="21"/>
          <w:szCs w:val="21"/>
        </w:rPr>
        <w:t>Companies should receive equitable treatment and share the allocation of EPR costs based on their packaging design and volumes that are placed on market (</w:t>
      </w:r>
      <w:proofErr w:type="spellStart"/>
      <w:r w:rsidRPr="00C709CC">
        <w:rPr>
          <w:rFonts w:ascii="Arial" w:hAnsi="Arial" w:cs="Arial"/>
          <w:b/>
          <w:bCs/>
          <w:sz w:val="21"/>
          <w:szCs w:val="21"/>
        </w:rPr>
        <w:t>PoM</w:t>
      </w:r>
      <w:proofErr w:type="spellEnd"/>
      <w:r w:rsidRPr="00C709CC">
        <w:rPr>
          <w:rFonts w:ascii="Arial" w:hAnsi="Arial" w:cs="Arial"/>
          <w:b/>
          <w:bCs/>
          <w:sz w:val="21"/>
          <w:szCs w:val="21"/>
        </w:rPr>
        <w:t>).</w:t>
      </w:r>
      <w:r>
        <w:rPr>
          <w:rFonts w:ascii="Arial" w:hAnsi="Arial" w:cs="Arial"/>
          <w:sz w:val="21"/>
          <w:szCs w:val="21"/>
        </w:rPr>
        <w:t xml:space="preserve"> For example, </w:t>
      </w:r>
      <w:r w:rsidRPr="003E3B57">
        <w:rPr>
          <w:rFonts w:ascii="Arial" w:hAnsi="Arial" w:cs="Arial"/>
          <w:sz w:val="21"/>
          <w:szCs w:val="21"/>
        </w:rPr>
        <w:t>technical recyclability, actual recycling rates, recycled content and market development</w:t>
      </w:r>
      <w:r>
        <w:rPr>
          <w:rFonts w:ascii="Arial" w:hAnsi="Arial" w:cs="Arial"/>
          <w:sz w:val="21"/>
          <w:szCs w:val="21"/>
        </w:rPr>
        <w:t xml:space="preserve">. </w:t>
      </w:r>
    </w:p>
    <w:p w14:paraId="1E7A5886" w14:textId="77777777" w:rsidR="00FA6B69" w:rsidRPr="003E3B57" w:rsidRDefault="00FA6B69" w:rsidP="00FA6B69">
      <w:pPr>
        <w:numPr>
          <w:ilvl w:val="0"/>
          <w:numId w:val="4"/>
        </w:numPr>
        <w:rPr>
          <w:rFonts w:ascii="Arial" w:hAnsi="Arial" w:cs="Arial"/>
          <w:sz w:val="21"/>
          <w:szCs w:val="21"/>
        </w:rPr>
      </w:pPr>
      <w:r w:rsidRPr="00C709CC">
        <w:rPr>
          <w:rFonts w:ascii="Arial" w:hAnsi="Arial" w:cs="Arial"/>
          <w:b/>
          <w:bCs/>
          <w:sz w:val="21"/>
          <w:szCs w:val="21"/>
        </w:rPr>
        <w:t>EPR organisations should support companies to improve the environmental performance of their packaging</w:t>
      </w:r>
      <w:r w:rsidRPr="003E3B57">
        <w:rPr>
          <w:rFonts w:ascii="Arial" w:hAnsi="Arial" w:cs="Arial"/>
          <w:sz w:val="21"/>
          <w:szCs w:val="21"/>
        </w:rPr>
        <w:t xml:space="preserve">. Where companies have no control over consumer behaviour and end life </w:t>
      </w:r>
      <w:r>
        <w:rPr>
          <w:rFonts w:ascii="Arial" w:hAnsi="Arial" w:cs="Arial"/>
          <w:sz w:val="21"/>
          <w:szCs w:val="21"/>
        </w:rPr>
        <w:t xml:space="preserve">such as </w:t>
      </w:r>
      <w:r w:rsidRPr="003E3B57">
        <w:rPr>
          <w:rFonts w:ascii="Arial" w:hAnsi="Arial" w:cs="Arial"/>
          <w:sz w:val="21"/>
          <w:szCs w:val="21"/>
        </w:rPr>
        <w:t>kerbside collection, household behaviours, education and MRF capabilities, clearly defined responsibility and accountability should be included in targets.</w:t>
      </w:r>
    </w:p>
    <w:p w14:paraId="56A2C2ED" w14:textId="77777777" w:rsidR="00FA6B69" w:rsidRDefault="00FA6B69" w:rsidP="00FA6B69">
      <w:pPr>
        <w:numPr>
          <w:ilvl w:val="0"/>
          <w:numId w:val="4"/>
        </w:numPr>
        <w:rPr>
          <w:rFonts w:ascii="Arial" w:hAnsi="Arial" w:cs="Arial"/>
          <w:sz w:val="21"/>
          <w:szCs w:val="21"/>
        </w:rPr>
      </w:pPr>
      <w:r w:rsidRPr="00BD46B3">
        <w:rPr>
          <w:rFonts w:ascii="Arial" w:hAnsi="Arial" w:cs="Arial"/>
          <w:b/>
          <w:bCs/>
          <w:sz w:val="21"/>
          <w:szCs w:val="21"/>
        </w:rPr>
        <w:t>The industry-owned PRO should pursue a public service mission of circularity</w:t>
      </w:r>
      <w:r w:rsidRPr="003E3B57">
        <w:rPr>
          <w:rFonts w:ascii="Arial" w:hAnsi="Arial" w:cs="Arial"/>
          <w:sz w:val="21"/>
          <w:szCs w:val="21"/>
        </w:rPr>
        <w:t xml:space="preserve">. The scope should be clearly articulated to prevent packaging from being captured where there is no existing market failure.  </w:t>
      </w:r>
    </w:p>
    <w:p w14:paraId="3D1CEB6B" w14:textId="77777777" w:rsidR="00FA6B69" w:rsidRPr="003E3B57" w:rsidRDefault="00FA6B69" w:rsidP="00FA6B69">
      <w:pPr>
        <w:numPr>
          <w:ilvl w:val="0"/>
          <w:numId w:val="4"/>
        </w:numPr>
        <w:rPr>
          <w:rFonts w:ascii="Arial" w:hAnsi="Arial" w:cs="Arial"/>
          <w:sz w:val="21"/>
          <w:szCs w:val="21"/>
        </w:rPr>
      </w:pPr>
      <w:r w:rsidRPr="00C709CC">
        <w:rPr>
          <w:rFonts w:ascii="Arial" w:hAnsi="Arial" w:cs="Arial"/>
          <w:b/>
          <w:bCs/>
          <w:sz w:val="21"/>
          <w:szCs w:val="21"/>
        </w:rPr>
        <w:t xml:space="preserve">EPR compliance schemes should be </w:t>
      </w:r>
      <w:r>
        <w:rPr>
          <w:rFonts w:ascii="Arial" w:hAnsi="Arial" w:cs="Arial"/>
          <w:b/>
          <w:bCs/>
          <w:sz w:val="21"/>
          <w:szCs w:val="21"/>
        </w:rPr>
        <w:t>operated by organisations that are responsible to fund and deliver recycling outcomes</w:t>
      </w:r>
      <w:r w:rsidRPr="00C709CC">
        <w:rPr>
          <w:rFonts w:ascii="Arial" w:hAnsi="Arial" w:cs="Arial"/>
          <w:b/>
          <w:bCs/>
          <w:sz w:val="21"/>
          <w:szCs w:val="21"/>
        </w:rPr>
        <w:t>.</w:t>
      </w:r>
      <w:r>
        <w:rPr>
          <w:rFonts w:ascii="Arial" w:hAnsi="Arial" w:cs="Arial"/>
          <w:sz w:val="21"/>
          <w:szCs w:val="21"/>
        </w:rPr>
        <w:t xml:space="preserve"> </w:t>
      </w:r>
      <w:r w:rsidRPr="003E3B57">
        <w:rPr>
          <w:rFonts w:ascii="Arial" w:hAnsi="Arial" w:cs="Arial"/>
          <w:sz w:val="21"/>
          <w:szCs w:val="21"/>
        </w:rPr>
        <w:t xml:space="preserve">Parties who are liable to fund the system and deliver </w:t>
      </w:r>
      <w:r w:rsidRPr="003E3B57">
        <w:rPr>
          <w:rFonts w:ascii="Arial" w:hAnsi="Arial" w:cs="Arial"/>
          <w:sz w:val="21"/>
          <w:szCs w:val="21"/>
        </w:rPr>
        <w:lastRenderedPageBreak/>
        <w:t xml:space="preserve">the outcomes should have majority control of the </w:t>
      </w:r>
      <w:r>
        <w:rPr>
          <w:rFonts w:ascii="Arial" w:hAnsi="Arial" w:cs="Arial"/>
          <w:sz w:val="21"/>
          <w:szCs w:val="21"/>
        </w:rPr>
        <w:t>Producer Responsibility Organisation (</w:t>
      </w:r>
      <w:r w:rsidRPr="003E3B57">
        <w:rPr>
          <w:rFonts w:ascii="Arial" w:hAnsi="Arial" w:cs="Arial"/>
          <w:sz w:val="21"/>
          <w:szCs w:val="21"/>
        </w:rPr>
        <w:t>PRO</w:t>
      </w:r>
      <w:r>
        <w:rPr>
          <w:rFonts w:ascii="Arial" w:hAnsi="Arial" w:cs="Arial"/>
          <w:sz w:val="21"/>
          <w:szCs w:val="21"/>
        </w:rPr>
        <w:t>)</w:t>
      </w:r>
      <w:r w:rsidRPr="003E3B57">
        <w:rPr>
          <w:rFonts w:ascii="Arial" w:hAnsi="Arial" w:cs="Arial"/>
          <w:sz w:val="21"/>
          <w:szCs w:val="21"/>
        </w:rPr>
        <w:t>.</w:t>
      </w:r>
    </w:p>
    <w:p w14:paraId="1980423D" w14:textId="77777777" w:rsidR="00FA6B69" w:rsidRPr="00F82376" w:rsidRDefault="00FA6B69" w:rsidP="00FA6B69">
      <w:pPr>
        <w:numPr>
          <w:ilvl w:val="0"/>
          <w:numId w:val="4"/>
        </w:numPr>
        <w:rPr>
          <w:rFonts w:ascii="Arial" w:hAnsi="Arial" w:cs="Arial"/>
          <w:sz w:val="21"/>
          <w:szCs w:val="21"/>
        </w:rPr>
      </w:pPr>
      <w:r w:rsidRPr="00C709CC">
        <w:rPr>
          <w:rFonts w:ascii="Arial" w:hAnsi="Arial" w:cs="Arial"/>
          <w:b/>
          <w:bCs/>
          <w:sz w:val="21"/>
          <w:szCs w:val="21"/>
        </w:rPr>
        <w:t>Packaging suppliers, collectors, sorters and recyclers of waste should not be active in EPR governance</w:t>
      </w:r>
      <w:r w:rsidRPr="003E3B57">
        <w:rPr>
          <w:rFonts w:ascii="Arial" w:hAnsi="Arial" w:cs="Arial"/>
          <w:sz w:val="21"/>
          <w:szCs w:val="21"/>
        </w:rPr>
        <w:t xml:space="preserve">. Any beneficiaries of the scheme, upstream or downstream, should only be engaged in an advisory capacity to avoid any conflicts of interest. </w:t>
      </w:r>
    </w:p>
    <w:p w14:paraId="169AA9D4" w14:textId="6EA080FF" w:rsidR="009A0F0E" w:rsidRPr="001E0AF3" w:rsidRDefault="009A0F0E" w:rsidP="00766699">
      <w:pPr>
        <w:pStyle w:val="Heading2"/>
        <w:numPr>
          <w:ilvl w:val="0"/>
          <w:numId w:val="7"/>
        </w:numPr>
        <w:ind w:left="284" w:firstLine="76"/>
        <w:rPr>
          <w:rFonts w:ascii="Arial" w:hAnsi="Arial" w:cs="Arial"/>
        </w:rPr>
      </w:pPr>
      <w:r w:rsidRPr="001E0AF3">
        <w:rPr>
          <w:rFonts w:ascii="Arial" w:hAnsi="Arial" w:cs="Arial"/>
        </w:rPr>
        <w:t xml:space="preserve">Tax incentives </w:t>
      </w:r>
    </w:p>
    <w:p w14:paraId="28B28609" w14:textId="77777777" w:rsidR="0062123F" w:rsidRPr="0062123F" w:rsidRDefault="0062123F" w:rsidP="0062123F">
      <w:pPr>
        <w:rPr>
          <w:rFonts w:ascii="Arial" w:hAnsi="Arial" w:cs="Arial"/>
        </w:rPr>
      </w:pPr>
      <w:r w:rsidRPr="0062123F">
        <w:rPr>
          <w:rFonts w:ascii="Arial" w:hAnsi="Arial" w:cs="Arial"/>
        </w:rPr>
        <w:t>Given the broad inflationary pressures facing food and grocery manufacturers, we call for tax incentives to be provided to food and grocery manufacturers to support our transition to new, multi-</w:t>
      </w:r>
      <w:proofErr w:type="gramStart"/>
      <w:r w:rsidRPr="0062123F">
        <w:rPr>
          <w:rFonts w:ascii="Arial" w:hAnsi="Arial" w:cs="Arial"/>
        </w:rPr>
        <w:t>million dollar</w:t>
      </w:r>
      <w:proofErr w:type="gramEnd"/>
      <w:r w:rsidRPr="0062123F">
        <w:rPr>
          <w:rFonts w:ascii="Arial" w:hAnsi="Arial" w:cs="Arial"/>
        </w:rPr>
        <w:t xml:space="preserve"> capital equipment needed to support new packaging design standards and more sustainable packaging formats. </w:t>
      </w:r>
    </w:p>
    <w:p w14:paraId="65D0C586" w14:textId="39FD4034" w:rsidR="008D3B4A" w:rsidRPr="001E0AF3" w:rsidRDefault="00F82376" w:rsidP="00766699">
      <w:pPr>
        <w:rPr>
          <w:rFonts w:ascii="Arial" w:hAnsi="Arial" w:cs="Arial"/>
        </w:rPr>
      </w:pPr>
      <w:r w:rsidRPr="001E0AF3">
        <w:rPr>
          <w:rFonts w:ascii="Arial" w:hAnsi="Arial" w:cs="Arial"/>
        </w:rPr>
        <w:t>A</w:t>
      </w:r>
      <w:r w:rsidR="008E0C90" w:rsidRPr="001E0AF3">
        <w:rPr>
          <w:rFonts w:ascii="Arial" w:hAnsi="Arial" w:cs="Arial"/>
        </w:rPr>
        <w:t xml:space="preserve"> factor often overlooked is the significant capital investment required by food and grocery manufacturers to upgrade or install new packaging plants and equipment </w:t>
      </w:r>
      <w:proofErr w:type="gramStart"/>
      <w:r w:rsidR="008E0C90" w:rsidRPr="001E0AF3">
        <w:rPr>
          <w:rFonts w:ascii="Arial" w:hAnsi="Arial" w:cs="Arial"/>
        </w:rPr>
        <w:t>in order to</w:t>
      </w:r>
      <w:proofErr w:type="gramEnd"/>
      <w:r w:rsidR="008E0C90" w:rsidRPr="001E0AF3">
        <w:rPr>
          <w:rFonts w:ascii="Arial" w:hAnsi="Arial" w:cs="Arial"/>
        </w:rPr>
        <w:t xml:space="preserve"> meet new design standards. Where new packaging formats are required, costs can exceed $100</w:t>
      </w:r>
      <w:r w:rsidR="00EA7C7A">
        <w:rPr>
          <w:rFonts w:ascii="Arial" w:hAnsi="Arial" w:cs="Arial"/>
        </w:rPr>
        <w:t xml:space="preserve"> million</w:t>
      </w:r>
      <w:r w:rsidR="008E0C90" w:rsidRPr="001E0AF3">
        <w:rPr>
          <w:rFonts w:ascii="Arial" w:hAnsi="Arial" w:cs="Arial"/>
        </w:rPr>
        <w:t xml:space="preserve"> per facility. </w:t>
      </w:r>
    </w:p>
    <w:p w14:paraId="68ACAD21" w14:textId="77777777" w:rsidR="008D3B4A" w:rsidRPr="001E0AF3" w:rsidRDefault="008E0C90" w:rsidP="00766699">
      <w:pPr>
        <w:rPr>
          <w:rFonts w:ascii="Arial" w:hAnsi="Arial" w:cs="Arial"/>
        </w:rPr>
      </w:pPr>
      <w:r w:rsidRPr="001E0AF3">
        <w:rPr>
          <w:rFonts w:ascii="Arial" w:hAnsi="Arial" w:cs="Arial"/>
        </w:rPr>
        <w:t xml:space="preserve">In addition, food and grocery manufacturers are simultaneously facing additional costs of procuring recycled content and participation in product stewardship schemes. </w:t>
      </w:r>
    </w:p>
    <w:p w14:paraId="01190251" w14:textId="15368C2F" w:rsidR="008E0C90" w:rsidRPr="001E0AF3" w:rsidRDefault="008E0C90" w:rsidP="00766699">
      <w:pPr>
        <w:rPr>
          <w:rFonts w:ascii="Arial" w:hAnsi="Arial" w:cs="Arial"/>
        </w:rPr>
      </w:pPr>
      <w:r w:rsidRPr="001E0AF3">
        <w:rPr>
          <w:rFonts w:ascii="Arial" w:hAnsi="Arial" w:cs="Arial"/>
        </w:rPr>
        <w:t xml:space="preserve">Significant government funding is in place at a state and federal level to support changes needed in the waste and recycling industry, yet nothing is in place to support food and grocery manufacturers with a costly transition, which risks increasing cost of living or moving manufacturing offshore to contain costs. </w:t>
      </w:r>
    </w:p>
    <w:p w14:paraId="0D90A41C" w14:textId="5E266773" w:rsidR="00A75620" w:rsidRPr="001E0AF3" w:rsidRDefault="00A75620" w:rsidP="00710740">
      <w:pPr>
        <w:pStyle w:val="Heading2"/>
        <w:numPr>
          <w:ilvl w:val="0"/>
          <w:numId w:val="7"/>
        </w:numPr>
        <w:rPr>
          <w:rFonts w:ascii="Arial" w:hAnsi="Arial" w:cs="Arial"/>
        </w:rPr>
      </w:pPr>
      <w:r w:rsidRPr="001E0AF3">
        <w:rPr>
          <w:rFonts w:ascii="Arial" w:hAnsi="Arial" w:cs="Arial"/>
        </w:rPr>
        <w:t xml:space="preserve">Additional Feedback  </w:t>
      </w:r>
    </w:p>
    <w:p w14:paraId="7E97E3E5" w14:textId="114AB36E" w:rsidR="00C31BC6" w:rsidRPr="001E0AF3" w:rsidRDefault="005E57EA" w:rsidP="00557645">
      <w:pPr>
        <w:rPr>
          <w:rFonts w:ascii="Arial" w:hAnsi="Arial" w:cs="Arial"/>
          <w:lang w:val="en-US"/>
        </w:rPr>
      </w:pPr>
      <w:r w:rsidRPr="001E0AF3">
        <w:rPr>
          <w:rFonts w:ascii="Arial" w:hAnsi="Arial" w:cs="Arial"/>
          <w:b/>
          <w:highlight w:val="yellow"/>
          <w:lang w:val="en-US"/>
        </w:rPr>
        <w:t xml:space="preserve">Member </w:t>
      </w:r>
      <w:r w:rsidR="00336A2B" w:rsidRPr="001E0AF3">
        <w:rPr>
          <w:rFonts w:ascii="Arial" w:hAnsi="Arial" w:cs="Arial"/>
          <w:b/>
          <w:highlight w:val="yellow"/>
          <w:lang w:val="en-US"/>
        </w:rPr>
        <w:t xml:space="preserve">Note: Consider </w:t>
      </w:r>
      <w:r w:rsidR="004C2905" w:rsidRPr="001E0AF3">
        <w:rPr>
          <w:rFonts w:ascii="Arial" w:hAnsi="Arial" w:cs="Arial"/>
          <w:b/>
          <w:highlight w:val="yellow"/>
          <w:lang w:val="en-US"/>
        </w:rPr>
        <w:t xml:space="preserve">including </w:t>
      </w:r>
      <w:r w:rsidRPr="001E0AF3">
        <w:rPr>
          <w:rFonts w:ascii="Arial" w:hAnsi="Arial" w:cs="Arial"/>
          <w:b/>
          <w:highlight w:val="yellow"/>
          <w:lang w:val="en-US"/>
        </w:rPr>
        <w:t>a </w:t>
      </w:r>
      <w:r w:rsidR="004C2905" w:rsidRPr="001E0AF3">
        <w:rPr>
          <w:rFonts w:ascii="Arial" w:hAnsi="Arial" w:cs="Arial"/>
          <w:b/>
          <w:highlight w:val="yellow"/>
          <w:lang w:val="en-US"/>
        </w:rPr>
        <w:t>c</w:t>
      </w:r>
      <w:r w:rsidR="002B7A83" w:rsidRPr="001E0AF3">
        <w:rPr>
          <w:rFonts w:ascii="Arial" w:hAnsi="Arial" w:cs="Arial"/>
          <w:b/>
          <w:highlight w:val="yellow"/>
          <w:lang w:val="en-US"/>
        </w:rPr>
        <w:t xml:space="preserve">ase </w:t>
      </w:r>
      <w:r w:rsidR="004C2905" w:rsidRPr="001E0AF3">
        <w:rPr>
          <w:rFonts w:ascii="Arial" w:hAnsi="Arial" w:cs="Arial"/>
          <w:b/>
          <w:highlight w:val="yellow"/>
          <w:lang w:val="en-US"/>
        </w:rPr>
        <w:t>s</w:t>
      </w:r>
      <w:r w:rsidR="002B7A83" w:rsidRPr="001E0AF3">
        <w:rPr>
          <w:rFonts w:ascii="Arial" w:hAnsi="Arial" w:cs="Arial"/>
          <w:b/>
          <w:highlight w:val="yellow"/>
          <w:lang w:val="en-US"/>
        </w:rPr>
        <w:t xml:space="preserve">tudy or </w:t>
      </w:r>
      <w:r w:rsidR="004C2905" w:rsidRPr="001E0AF3">
        <w:rPr>
          <w:rFonts w:ascii="Arial" w:hAnsi="Arial" w:cs="Arial"/>
          <w:b/>
          <w:highlight w:val="yellow"/>
          <w:lang w:val="en-US"/>
        </w:rPr>
        <w:t>d</w:t>
      </w:r>
      <w:r w:rsidR="002B7A83" w:rsidRPr="001E0AF3">
        <w:rPr>
          <w:rFonts w:ascii="Arial" w:hAnsi="Arial" w:cs="Arial"/>
          <w:b/>
          <w:highlight w:val="yellow"/>
          <w:lang w:val="en-US"/>
        </w:rPr>
        <w:t>ata</w:t>
      </w:r>
      <w:r w:rsidR="002B7A83" w:rsidRPr="001E0AF3">
        <w:rPr>
          <w:rFonts w:ascii="Arial" w:hAnsi="Arial" w:cs="Arial"/>
          <w:lang w:val="en-US"/>
        </w:rPr>
        <w:t xml:space="preserve"> </w:t>
      </w:r>
      <w:r w:rsidR="00E61453" w:rsidRPr="001E0AF3">
        <w:rPr>
          <w:rFonts w:ascii="Arial" w:hAnsi="Arial" w:cs="Arial"/>
          <w:lang w:val="en-US"/>
        </w:rPr>
        <w:t>–</w:t>
      </w:r>
      <w:r w:rsidR="002B7A83" w:rsidRPr="001E0AF3">
        <w:rPr>
          <w:rFonts w:ascii="Arial" w:hAnsi="Arial" w:cs="Arial"/>
          <w:lang w:val="en-US"/>
        </w:rPr>
        <w:t xml:space="preserve"> </w:t>
      </w:r>
      <w:r w:rsidR="00F55323" w:rsidRPr="001E0AF3">
        <w:rPr>
          <w:rFonts w:ascii="Arial" w:hAnsi="Arial" w:cs="Arial"/>
          <w:lang w:val="en-US"/>
        </w:rPr>
        <w:t>such as</w:t>
      </w:r>
      <w:r w:rsidR="009F142B" w:rsidRPr="001E0AF3">
        <w:rPr>
          <w:rFonts w:ascii="Arial" w:hAnsi="Arial" w:cs="Arial"/>
          <w:lang w:val="en-US"/>
        </w:rPr>
        <w:t xml:space="preserve"> a</w:t>
      </w:r>
      <w:r w:rsidR="00E61453" w:rsidRPr="001E0AF3">
        <w:rPr>
          <w:rFonts w:ascii="Arial" w:hAnsi="Arial" w:cs="Arial"/>
          <w:lang w:val="en-US"/>
        </w:rPr>
        <w:t>ccess to recycled content, traceability of recycled content</w:t>
      </w:r>
      <w:r w:rsidR="009F142B" w:rsidRPr="001E0AF3">
        <w:rPr>
          <w:rFonts w:ascii="Arial" w:hAnsi="Arial" w:cs="Arial"/>
          <w:lang w:val="en-US"/>
        </w:rPr>
        <w:t xml:space="preserve"> (cert</w:t>
      </w:r>
      <w:r w:rsidR="002D142C" w:rsidRPr="001E0AF3">
        <w:rPr>
          <w:rFonts w:ascii="Arial" w:hAnsi="Arial" w:cs="Arial"/>
          <w:lang w:val="en-US"/>
        </w:rPr>
        <w:t>i</w:t>
      </w:r>
      <w:r w:rsidR="009F142B" w:rsidRPr="001E0AF3">
        <w:rPr>
          <w:rFonts w:ascii="Arial" w:hAnsi="Arial" w:cs="Arial"/>
          <w:lang w:val="en-US"/>
        </w:rPr>
        <w:t>fication)</w:t>
      </w:r>
      <w:r w:rsidR="00E61453" w:rsidRPr="001E0AF3">
        <w:rPr>
          <w:rFonts w:ascii="Arial" w:hAnsi="Arial" w:cs="Arial"/>
          <w:lang w:val="en-US"/>
        </w:rPr>
        <w:t xml:space="preserve">, </w:t>
      </w:r>
      <w:r w:rsidR="00177252" w:rsidRPr="001E0AF3">
        <w:rPr>
          <w:rFonts w:ascii="Arial" w:hAnsi="Arial" w:cs="Arial"/>
          <w:lang w:val="en-US"/>
        </w:rPr>
        <w:t>format changes</w:t>
      </w:r>
      <w:r w:rsidR="007256EE" w:rsidRPr="001E0AF3">
        <w:rPr>
          <w:rFonts w:ascii="Arial" w:hAnsi="Arial" w:cs="Arial"/>
          <w:lang w:val="en-US"/>
        </w:rPr>
        <w:t>,</w:t>
      </w:r>
      <w:r w:rsidR="00077030" w:rsidRPr="001E0AF3">
        <w:rPr>
          <w:rFonts w:ascii="Arial" w:hAnsi="Arial" w:cs="Arial"/>
          <w:lang w:val="en-US"/>
        </w:rPr>
        <w:t xml:space="preserve"> </w:t>
      </w:r>
      <w:r w:rsidR="005C694E" w:rsidRPr="001E0AF3">
        <w:rPr>
          <w:rFonts w:ascii="Arial" w:hAnsi="Arial" w:cs="Arial"/>
          <w:lang w:val="en-US"/>
        </w:rPr>
        <w:t xml:space="preserve">challenges </w:t>
      </w:r>
      <w:r w:rsidR="00257D7F" w:rsidRPr="001E0AF3">
        <w:rPr>
          <w:rFonts w:ascii="Arial" w:hAnsi="Arial" w:cs="Arial"/>
          <w:lang w:val="en-US"/>
        </w:rPr>
        <w:t>or requirements</w:t>
      </w:r>
      <w:r w:rsidR="00077030" w:rsidRPr="001E0AF3">
        <w:rPr>
          <w:rFonts w:ascii="Arial" w:hAnsi="Arial" w:cs="Arial"/>
          <w:lang w:val="en-US"/>
        </w:rPr>
        <w:t xml:space="preserve"> (</w:t>
      </w:r>
      <w:r w:rsidR="002D0C6F" w:rsidRPr="001E0AF3">
        <w:rPr>
          <w:rFonts w:ascii="Arial" w:hAnsi="Arial" w:cs="Arial"/>
          <w:lang w:val="en-US"/>
        </w:rPr>
        <w:t>fit for purpose</w:t>
      </w:r>
      <w:r w:rsidR="006E2443" w:rsidRPr="001E0AF3">
        <w:rPr>
          <w:rFonts w:ascii="Arial" w:hAnsi="Arial" w:cs="Arial"/>
          <w:lang w:val="en-US"/>
        </w:rPr>
        <w:t>/health</w:t>
      </w:r>
      <w:r w:rsidR="005661FE" w:rsidRPr="001E0AF3">
        <w:rPr>
          <w:rFonts w:ascii="Arial" w:hAnsi="Arial" w:cs="Arial"/>
          <w:lang w:val="en-US"/>
        </w:rPr>
        <w:t>,</w:t>
      </w:r>
      <w:r w:rsidR="006E2443" w:rsidRPr="001E0AF3">
        <w:rPr>
          <w:rFonts w:ascii="Arial" w:hAnsi="Arial" w:cs="Arial"/>
          <w:lang w:val="en-US"/>
        </w:rPr>
        <w:t xml:space="preserve"> etc</w:t>
      </w:r>
      <w:r w:rsidR="009F142B" w:rsidRPr="001E0AF3">
        <w:rPr>
          <w:rFonts w:ascii="Arial" w:hAnsi="Arial" w:cs="Arial"/>
          <w:lang w:val="en-US"/>
        </w:rPr>
        <w:t>.</w:t>
      </w:r>
      <w:r w:rsidR="006E2443" w:rsidRPr="001E0AF3">
        <w:rPr>
          <w:rFonts w:ascii="Arial" w:hAnsi="Arial" w:cs="Arial"/>
          <w:lang w:val="en-US"/>
        </w:rPr>
        <w:t>)</w:t>
      </w:r>
      <w:r w:rsidR="00B43D57" w:rsidRPr="001E0AF3">
        <w:rPr>
          <w:rFonts w:ascii="Arial" w:hAnsi="Arial" w:cs="Arial"/>
          <w:lang w:val="en-US"/>
        </w:rPr>
        <w:t>.</w:t>
      </w:r>
    </w:p>
    <w:p w14:paraId="0F31B26F" w14:textId="346A7E45" w:rsidR="00184EDA" w:rsidRPr="001E0AF3" w:rsidRDefault="00B43D57" w:rsidP="00591648">
      <w:pPr>
        <w:pStyle w:val="Heading2"/>
        <w:numPr>
          <w:ilvl w:val="0"/>
          <w:numId w:val="7"/>
        </w:numPr>
        <w:rPr>
          <w:rFonts w:ascii="Arial" w:hAnsi="Arial" w:cs="Arial"/>
        </w:rPr>
      </w:pPr>
      <w:r w:rsidRPr="001E0AF3">
        <w:rPr>
          <w:rFonts w:ascii="Arial" w:hAnsi="Arial" w:cs="Arial"/>
        </w:rPr>
        <w:t xml:space="preserve">Conclusion </w:t>
      </w:r>
    </w:p>
    <w:p w14:paraId="5001DC7E" w14:textId="49282281" w:rsidR="009E5810" w:rsidRPr="001E0AF3" w:rsidRDefault="00644B09">
      <w:pPr>
        <w:rPr>
          <w:rFonts w:ascii="Arial" w:hAnsi="Arial" w:cs="Arial"/>
        </w:rPr>
      </w:pPr>
      <w:r w:rsidRPr="001E0AF3">
        <w:rPr>
          <w:rFonts w:ascii="Arial" w:hAnsi="Arial" w:cs="Arial"/>
        </w:rPr>
        <w:t>We believe that t</w:t>
      </w:r>
      <w:r w:rsidR="00690053" w:rsidRPr="001E0AF3">
        <w:rPr>
          <w:rFonts w:ascii="Arial" w:hAnsi="Arial" w:cs="Arial"/>
        </w:rPr>
        <w:t xml:space="preserve">o ensure the highest environmental outcomes with the lowest cost to the community, all supply chain parties need to play a role </w:t>
      </w:r>
      <w:r w:rsidR="0016327D" w:rsidRPr="001E0AF3">
        <w:rPr>
          <w:rFonts w:ascii="Arial" w:hAnsi="Arial" w:cs="Arial"/>
        </w:rPr>
        <w:t xml:space="preserve">in </w:t>
      </w:r>
      <w:r w:rsidR="001D054E" w:rsidRPr="001E0AF3">
        <w:rPr>
          <w:rFonts w:ascii="Arial" w:hAnsi="Arial" w:cs="Arial"/>
        </w:rPr>
        <w:t>transitioning to a circular economy</w:t>
      </w:r>
      <w:r w:rsidR="009E5810" w:rsidRPr="001E0AF3">
        <w:rPr>
          <w:rFonts w:ascii="Arial" w:hAnsi="Arial" w:cs="Arial"/>
        </w:rPr>
        <w:t xml:space="preserve"> for packaging</w:t>
      </w:r>
      <w:r w:rsidR="0014425C" w:rsidRPr="001E0AF3">
        <w:rPr>
          <w:rFonts w:ascii="Arial" w:hAnsi="Arial" w:cs="Arial"/>
        </w:rPr>
        <w:t xml:space="preserve">. </w:t>
      </w:r>
    </w:p>
    <w:p w14:paraId="764A89B9" w14:textId="15E4D3F6" w:rsidR="00372FC5" w:rsidRPr="001E0AF3" w:rsidRDefault="00C444A1">
      <w:pPr>
        <w:rPr>
          <w:rFonts w:ascii="Arial" w:hAnsi="Arial" w:cs="Arial"/>
        </w:rPr>
      </w:pPr>
      <w:r w:rsidRPr="001E0AF3">
        <w:rPr>
          <w:rFonts w:ascii="Arial" w:hAnsi="Arial" w:cs="Arial"/>
          <w:lang w:val="en-US"/>
        </w:rPr>
        <w:t xml:space="preserve">While we support the high-level framework in </w:t>
      </w:r>
      <w:r w:rsidRPr="001E0AF3">
        <w:rPr>
          <w:rFonts w:ascii="Arial" w:hAnsi="Arial" w:cs="Arial"/>
          <w:b/>
          <w:lang w:val="en-US"/>
        </w:rPr>
        <w:t>option 3</w:t>
      </w:r>
      <w:r w:rsidR="0011778A">
        <w:rPr>
          <w:rFonts w:ascii="Arial" w:hAnsi="Arial" w:cs="Arial"/>
          <w:lang w:val="en-US"/>
        </w:rPr>
        <w:t>, we</w:t>
      </w:r>
      <w:r w:rsidRPr="001E0AF3">
        <w:rPr>
          <w:rFonts w:ascii="Arial" w:hAnsi="Arial" w:cs="Arial"/>
          <w:lang w:val="en-US"/>
        </w:rPr>
        <w:t xml:space="preserve"> </w:t>
      </w:r>
      <w:r w:rsidR="00B90B48" w:rsidRPr="001E0AF3">
        <w:rPr>
          <w:rFonts w:ascii="Arial" w:hAnsi="Arial" w:cs="Arial"/>
          <w:lang w:val="en-US"/>
        </w:rPr>
        <w:t xml:space="preserve">believe that </w:t>
      </w:r>
      <w:proofErr w:type="spellStart"/>
      <w:r w:rsidR="00B90B48" w:rsidRPr="001E0AF3">
        <w:rPr>
          <w:rFonts w:ascii="Arial" w:hAnsi="Arial" w:cs="Arial"/>
          <w:lang w:val="en-US"/>
        </w:rPr>
        <w:t>i</w:t>
      </w:r>
      <w:r w:rsidR="00D95A55" w:rsidRPr="001E0AF3">
        <w:rPr>
          <w:rFonts w:ascii="Arial" w:hAnsi="Arial" w:cs="Arial"/>
        </w:rPr>
        <w:t>ncluding</w:t>
      </w:r>
      <w:proofErr w:type="spellEnd"/>
      <w:r w:rsidR="00D95A55" w:rsidRPr="001E0AF3">
        <w:rPr>
          <w:rFonts w:ascii="Arial" w:hAnsi="Arial" w:cs="Arial"/>
        </w:rPr>
        <w:t xml:space="preserve"> the</w:t>
      </w:r>
      <w:r w:rsidR="0014425C" w:rsidRPr="001E0AF3">
        <w:rPr>
          <w:rFonts w:ascii="Arial" w:hAnsi="Arial" w:cs="Arial"/>
        </w:rPr>
        <w:t xml:space="preserve"> </w:t>
      </w:r>
      <w:r w:rsidR="009F4DFB" w:rsidRPr="001E0AF3">
        <w:rPr>
          <w:rFonts w:ascii="Arial" w:hAnsi="Arial" w:cs="Arial"/>
        </w:rPr>
        <w:t xml:space="preserve">policy enablers and best practice EPR </w:t>
      </w:r>
      <w:r w:rsidR="000C3636" w:rsidRPr="001E0AF3">
        <w:rPr>
          <w:rFonts w:ascii="Arial" w:hAnsi="Arial" w:cs="Arial"/>
        </w:rPr>
        <w:t>principles</w:t>
      </w:r>
      <w:r w:rsidR="00545888">
        <w:rPr>
          <w:rFonts w:ascii="Arial" w:hAnsi="Arial" w:cs="Arial"/>
        </w:rPr>
        <w:t xml:space="preserve"> (set out above)</w:t>
      </w:r>
      <w:r w:rsidR="000C3636" w:rsidRPr="001E0AF3">
        <w:rPr>
          <w:rFonts w:ascii="Arial" w:hAnsi="Arial" w:cs="Arial"/>
        </w:rPr>
        <w:t xml:space="preserve"> </w:t>
      </w:r>
      <w:r w:rsidR="00B90B48" w:rsidRPr="001E0AF3">
        <w:rPr>
          <w:rFonts w:ascii="Arial" w:hAnsi="Arial" w:cs="Arial"/>
        </w:rPr>
        <w:t>is paramount to the success of</w:t>
      </w:r>
      <w:r w:rsidR="000C3636" w:rsidRPr="001E0AF3">
        <w:rPr>
          <w:rFonts w:ascii="Arial" w:hAnsi="Arial" w:cs="Arial"/>
        </w:rPr>
        <w:t xml:space="preserve"> </w:t>
      </w:r>
      <w:r w:rsidR="00A024C7" w:rsidRPr="001E0AF3">
        <w:rPr>
          <w:rFonts w:ascii="Arial" w:hAnsi="Arial" w:cs="Arial"/>
        </w:rPr>
        <w:t>option 3</w:t>
      </w:r>
      <w:r w:rsidR="004F1D2F" w:rsidRPr="001E0AF3">
        <w:rPr>
          <w:rFonts w:ascii="Arial" w:hAnsi="Arial" w:cs="Arial"/>
        </w:rPr>
        <w:t>. W</w:t>
      </w:r>
      <w:r w:rsidR="00CB72F8" w:rsidRPr="001E0AF3">
        <w:rPr>
          <w:rFonts w:ascii="Arial" w:hAnsi="Arial" w:cs="Arial"/>
        </w:rPr>
        <w:t>e s</w:t>
      </w:r>
      <w:r w:rsidR="000C3636" w:rsidRPr="001E0AF3">
        <w:rPr>
          <w:rFonts w:ascii="Arial" w:hAnsi="Arial" w:cs="Arial"/>
        </w:rPr>
        <w:t xml:space="preserve">trongly encourage </w:t>
      </w:r>
      <w:r w:rsidR="00A024C7" w:rsidRPr="001E0AF3">
        <w:rPr>
          <w:rFonts w:ascii="Arial" w:hAnsi="Arial" w:cs="Arial"/>
        </w:rPr>
        <w:t xml:space="preserve">DCCEEW </w:t>
      </w:r>
      <w:r w:rsidR="00690053" w:rsidRPr="001E0AF3">
        <w:rPr>
          <w:rFonts w:ascii="Arial" w:hAnsi="Arial" w:cs="Arial"/>
        </w:rPr>
        <w:t xml:space="preserve">to consider these as part of a further consultation </w:t>
      </w:r>
      <w:r w:rsidR="00393306" w:rsidRPr="001E0AF3">
        <w:rPr>
          <w:rFonts w:ascii="Arial" w:hAnsi="Arial" w:cs="Arial"/>
        </w:rPr>
        <w:t>on packaging reform</w:t>
      </w:r>
      <w:r w:rsidR="009A29FF" w:rsidRPr="001E0AF3">
        <w:rPr>
          <w:rFonts w:ascii="Arial" w:hAnsi="Arial" w:cs="Arial"/>
        </w:rPr>
        <w:t xml:space="preserve">. We would also </w:t>
      </w:r>
      <w:r w:rsidR="00ED4CC9">
        <w:rPr>
          <w:rFonts w:ascii="Arial" w:hAnsi="Arial" w:cs="Arial"/>
        </w:rPr>
        <w:t>appreciate</w:t>
      </w:r>
      <w:r w:rsidR="00D07C81" w:rsidRPr="001E0AF3">
        <w:rPr>
          <w:rFonts w:ascii="Arial" w:hAnsi="Arial" w:cs="Arial"/>
        </w:rPr>
        <w:t xml:space="preserve"> the opportunity </w:t>
      </w:r>
      <w:r w:rsidR="007724D1" w:rsidRPr="001E0AF3">
        <w:rPr>
          <w:rFonts w:ascii="Arial" w:hAnsi="Arial" w:cs="Arial"/>
        </w:rPr>
        <w:t>to consult</w:t>
      </w:r>
      <w:r w:rsidR="000F52B3">
        <w:rPr>
          <w:rFonts w:ascii="Arial" w:hAnsi="Arial" w:cs="Arial"/>
        </w:rPr>
        <w:t> </w:t>
      </w:r>
      <w:r w:rsidR="00D07C81" w:rsidRPr="001E0AF3">
        <w:rPr>
          <w:rFonts w:ascii="Arial" w:hAnsi="Arial" w:cs="Arial"/>
        </w:rPr>
        <w:t xml:space="preserve">on the </w:t>
      </w:r>
      <w:r w:rsidR="00016CAF" w:rsidRPr="001E0AF3">
        <w:rPr>
          <w:rFonts w:ascii="Arial" w:hAnsi="Arial" w:cs="Arial"/>
        </w:rPr>
        <w:t>Packaging Recyclability Grading Framework developed by the Design Standards Working Group</w:t>
      </w:r>
      <w:r w:rsidR="00511A03" w:rsidRPr="001E0AF3">
        <w:rPr>
          <w:rFonts w:ascii="Arial" w:hAnsi="Arial" w:cs="Arial"/>
        </w:rPr>
        <w:t>, which was presented to the </w:t>
      </w:r>
      <w:r w:rsidR="004301E5" w:rsidRPr="001E0AF3">
        <w:rPr>
          <w:rFonts w:ascii="Arial" w:hAnsi="Arial" w:cs="Arial"/>
        </w:rPr>
        <w:t>industry</w:t>
      </w:r>
      <w:r w:rsidR="00C35A99" w:rsidRPr="001E0AF3">
        <w:rPr>
          <w:rFonts w:ascii="Arial" w:hAnsi="Arial" w:cs="Arial"/>
        </w:rPr>
        <w:t xml:space="preserve"> </w:t>
      </w:r>
      <w:r w:rsidR="004D3B14" w:rsidRPr="001E0AF3">
        <w:rPr>
          <w:rFonts w:ascii="Arial" w:hAnsi="Arial" w:cs="Arial"/>
        </w:rPr>
        <w:t>(APCO webinar 14 October 2024)</w:t>
      </w:r>
      <w:r w:rsidR="00690053" w:rsidRPr="001E0AF3">
        <w:rPr>
          <w:rFonts w:ascii="Arial" w:hAnsi="Arial" w:cs="Arial"/>
        </w:rPr>
        <w:t xml:space="preserve">. </w:t>
      </w:r>
    </w:p>
    <w:p w14:paraId="261D0345" w14:textId="12063551" w:rsidR="004A27FD" w:rsidRPr="001E0AF3" w:rsidRDefault="004A27FD" w:rsidP="004A27FD">
      <w:pPr>
        <w:rPr>
          <w:rFonts w:ascii="Arial" w:hAnsi="Arial" w:cs="Arial"/>
          <w:lang w:val="en-US"/>
        </w:rPr>
      </w:pPr>
      <w:r w:rsidRPr="001E0AF3">
        <w:rPr>
          <w:rFonts w:ascii="Arial" w:hAnsi="Arial" w:cs="Arial"/>
          <w:lang w:val="en-US"/>
        </w:rPr>
        <w:t xml:space="preserve">We thank the department for the opportunity to provide feedback and welcome the opportunity to discuss our submission </w:t>
      </w:r>
      <w:r w:rsidR="00380740" w:rsidRPr="001E0AF3">
        <w:rPr>
          <w:rFonts w:ascii="Arial" w:hAnsi="Arial" w:cs="Arial"/>
          <w:lang w:val="en-US"/>
        </w:rPr>
        <w:t xml:space="preserve">further </w:t>
      </w:r>
      <w:r w:rsidR="00350E1B" w:rsidRPr="001E0AF3">
        <w:rPr>
          <w:rFonts w:ascii="Arial" w:hAnsi="Arial" w:cs="Arial"/>
          <w:lang w:val="en-US"/>
        </w:rPr>
        <w:t>with DCCEEW</w:t>
      </w:r>
      <w:r w:rsidR="007A0A51" w:rsidRPr="001E0AF3">
        <w:rPr>
          <w:rFonts w:ascii="Arial" w:hAnsi="Arial" w:cs="Arial"/>
          <w:lang w:val="en-US"/>
        </w:rPr>
        <w:t>.</w:t>
      </w:r>
    </w:p>
    <w:p w14:paraId="0AE0AADD" w14:textId="27A58E71" w:rsidR="00690FAF" w:rsidRPr="001E0AF3" w:rsidRDefault="007A0A51">
      <w:pPr>
        <w:rPr>
          <w:rFonts w:ascii="Arial" w:hAnsi="Arial" w:cs="Arial"/>
          <w:lang w:val="en-US"/>
        </w:rPr>
      </w:pPr>
      <w:r w:rsidRPr="001E0AF3">
        <w:rPr>
          <w:rFonts w:ascii="Arial" w:hAnsi="Arial" w:cs="Arial"/>
          <w:highlight w:val="yellow"/>
          <w:lang w:val="en-US"/>
        </w:rPr>
        <w:t>Regards</w:t>
      </w:r>
    </w:p>
    <w:p w14:paraId="51B90E13" w14:textId="13CAA026" w:rsidR="007009E5" w:rsidRPr="001E0AF3" w:rsidRDefault="007009E5">
      <w:pPr>
        <w:rPr>
          <w:rFonts w:ascii="Arial" w:hAnsi="Arial" w:cs="Arial"/>
          <w:lang w:val="en-US"/>
        </w:rPr>
      </w:pPr>
      <w:r w:rsidRPr="001E0AF3">
        <w:rPr>
          <w:rFonts w:ascii="Arial" w:hAnsi="Arial" w:cs="Arial"/>
          <w:highlight w:val="yellow"/>
          <w:lang w:val="en-US"/>
        </w:rPr>
        <w:t>xxx</w:t>
      </w:r>
    </w:p>
    <w:sectPr w:rsidR="007009E5" w:rsidRPr="001E0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E6718"/>
    <w:multiLevelType w:val="multilevel"/>
    <w:tmpl w:val="C36EFEA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8F40D5B"/>
    <w:multiLevelType w:val="hybridMultilevel"/>
    <w:tmpl w:val="28408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B611A9F"/>
    <w:multiLevelType w:val="hybridMultilevel"/>
    <w:tmpl w:val="F91C49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9A1732"/>
    <w:multiLevelType w:val="hybridMultilevel"/>
    <w:tmpl w:val="48FE99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BB7429"/>
    <w:multiLevelType w:val="hybridMultilevel"/>
    <w:tmpl w:val="413E52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F05B11"/>
    <w:multiLevelType w:val="hybridMultilevel"/>
    <w:tmpl w:val="CDACE33C"/>
    <w:lvl w:ilvl="0" w:tplc="3528A82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55721"/>
    <w:multiLevelType w:val="hybridMultilevel"/>
    <w:tmpl w:val="CE9004B4"/>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7" w15:restartNumberingAfterBreak="0">
    <w:nsid w:val="52DC03A6"/>
    <w:multiLevelType w:val="hybridMultilevel"/>
    <w:tmpl w:val="48FE99D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583C31D7"/>
    <w:multiLevelType w:val="hybridMultilevel"/>
    <w:tmpl w:val="48FE99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013545"/>
    <w:multiLevelType w:val="hybridMultilevel"/>
    <w:tmpl w:val="C65C3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FF3C2D"/>
    <w:multiLevelType w:val="hybridMultilevel"/>
    <w:tmpl w:val="8190F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5E04C8"/>
    <w:multiLevelType w:val="hybridMultilevel"/>
    <w:tmpl w:val="28DAA540"/>
    <w:lvl w:ilvl="0" w:tplc="F202BC6E">
      <w:start w:val="1"/>
      <w:numFmt w:val="bullet"/>
      <w:lvlText w:val=""/>
      <w:lvlJc w:val="left"/>
      <w:pPr>
        <w:ind w:left="1780" w:hanging="360"/>
      </w:pPr>
      <w:rPr>
        <w:rFonts w:ascii="Symbol" w:hAnsi="Symbol"/>
      </w:rPr>
    </w:lvl>
    <w:lvl w:ilvl="1" w:tplc="744890A2">
      <w:start w:val="1"/>
      <w:numFmt w:val="bullet"/>
      <w:lvlText w:val=""/>
      <w:lvlJc w:val="left"/>
      <w:pPr>
        <w:ind w:left="1780" w:hanging="360"/>
      </w:pPr>
      <w:rPr>
        <w:rFonts w:ascii="Symbol" w:hAnsi="Symbol"/>
      </w:rPr>
    </w:lvl>
    <w:lvl w:ilvl="2" w:tplc="130E41FC">
      <w:start w:val="1"/>
      <w:numFmt w:val="bullet"/>
      <w:lvlText w:val=""/>
      <w:lvlJc w:val="left"/>
      <w:pPr>
        <w:ind w:left="1780" w:hanging="360"/>
      </w:pPr>
      <w:rPr>
        <w:rFonts w:ascii="Symbol" w:hAnsi="Symbol"/>
      </w:rPr>
    </w:lvl>
    <w:lvl w:ilvl="3" w:tplc="F5E26904">
      <w:start w:val="1"/>
      <w:numFmt w:val="bullet"/>
      <w:lvlText w:val=""/>
      <w:lvlJc w:val="left"/>
      <w:pPr>
        <w:ind w:left="1780" w:hanging="360"/>
      </w:pPr>
      <w:rPr>
        <w:rFonts w:ascii="Symbol" w:hAnsi="Symbol"/>
      </w:rPr>
    </w:lvl>
    <w:lvl w:ilvl="4" w:tplc="3558BE54">
      <w:start w:val="1"/>
      <w:numFmt w:val="bullet"/>
      <w:lvlText w:val=""/>
      <w:lvlJc w:val="left"/>
      <w:pPr>
        <w:ind w:left="1780" w:hanging="360"/>
      </w:pPr>
      <w:rPr>
        <w:rFonts w:ascii="Symbol" w:hAnsi="Symbol"/>
      </w:rPr>
    </w:lvl>
    <w:lvl w:ilvl="5" w:tplc="1876E05E">
      <w:start w:val="1"/>
      <w:numFmt w:val="bullet"/>
      <w:lvlText w:val=""/>
      <w:lvlJc w:val="left"/>
      <w:pPr>
        <w:ind w:left="1780" w:hanging="360"/>
      </w:pPr>
      <w:rPr>
        <w:rFonts w:ascii="Symbol" w:hAnsi="Symbol"/>
      </w:rPr>
    </w:lvl>
    <w:lvl w:ilvl="6" w:tplc="F5020570">
      <w:start w:val="1"/>
      <w:numFmt w:val="bullet"/>
      <w:lvlText w:val=""/>
      <w:lvlJc w:val="left"/>
      <w:pPr>
        <w:ind w:left="1780" w:hanging="360"/>
      </w:pPr>
      <w:rPr>
        <w:rFonts w:ascii="Symbol" w:hAnsi="Symbol"/>
      </w:rPr>
    </w:lvl>
    <w:lvl w:ilvl="7" w:tplc="F6628F14">
      <w:start w:val="1"/>
      <w:numFmt w:val="bullet"/>
      <w:lvlText w:val=""/>
      <w:lvlJc w:val="left"/>
      <w:pPr>
        <w:ind w:left="1780" w:hanging="360"/>
      </w:pPr>
      <w:rPr>
        <w:rFonts w:ascii="Symbol" w:hAnsi="Symbol"/>
      </w:rPr>
    </w:lvl>
    <w:lvl w:ilvl="8" w:tplc="9B769A76">
      <w:start w:val="1"/>
      <w:numFmt w:val="bullet"/>
      <w:lvlText w:val=""/>
      <w:lvlJc w:val="left"/>
      <w:pPr>
        <w:ind w:left="1780" w:hanging="360"/>
      </w:pPr>
      <w:rPr>
        <w:rFonts w:ascii="Symbol" w:hAnsi="Symbol"/>
      </w:rPr>
    </w:lvl>
  </w:abstractNum>
  <w:num w:numId="1" w16cid:durableId="1637032252">
    <w:abstractNumId w:val="6"/>
  </w:num>
  <w:num w:numId="2" w16cid:durableId="1934118806">
    <w:abstractNumId w:val="9"/>
  </w:num>
  <w:num w:numId="3" w16cid:durableId="612859855">
    <w:abstractNumId w:val="10"/>
  </w:num>
  <w:num w:numId="4" w16cid:durableId="2076854842">
    <w:abstractNumId w:val="0"/>
  </w:num>
  <w:num w:numId="5" w16cid:durableId="90710926">
    <w:abstractNumId w:val="5"/>
  </w:num>
  <w:num w:numId="6" w16cid:durableId="1724866032">
    <w:abstractNumId w:val="2"/>
  </w:num>
  <w:num w:numId="7" w16cid:durableId="1177306800">
    <w:abstractNumId w:val="3"/>
  </w:num>
  <w:num w:numId="8" w16cid:durableId="1923031076">
    <w:abstractNumId w:val="4"/>
  </w:num>
  <w:num w:numId="9" w16cid:durableId="1832716558">
    <w:abstractNumId w:val="1"/>
  </w:num>
  <w:num w:numId="10" w16cid:durableId="424308969">
    <w:abstractNumId w:val="11"/>
  </w:num>
  <w:num w:numId="11" w16cid:durableId="803231827">
    <w:abstractNumId w:val="8"/>
  </w:num>
  <w:num w:numId="12" w16cid:durableId="699669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45"/>
    <w:rsid w:val="00006F68"/>
    <w:rsid w:val="00016CAF"/>
    <w:rsid w:val="00024625"/>
    <w:rsid w:val="00027301"/>
    <w:rsid w:val="00027919"/>
    <w:rsid w:val="0003025E"/>
    <w:rsid w:val="000303D9"/>
    <w:rsid w:val="000355CE"/>
    <w:rsid w:val="00043207"/>
    <w:rsid w:val="00044B5C"/>
    <w:rsid w:val="00047856"/>
    <w:rsid w:val="00047E19"/>
    <w:rsid w:val="0005059E"/>
    <w:rsid w:val="00051A17"/>
    <w:rsid w:val="000529B9"/>
    <w:rsid w:val="00055D12"/>
    <w:rsid w:val="00056455"/>
    <w:rsid w:val="00064700"/>
    <w:rsid w:val="000660AA"/>
    <w:rsid w:val="000748A5"/>
    <w:rsid w:val="00077030"/>
    <w:rsid w:val="00086128"/>
    <w:rsid w:val="00090909"/>
    <w:rsid w:val="00091C63"/>
    <w:rsid w:val="00096CA9"/>
    <w:rsid w:val="000A19C0"/>
    <w:rsid w:val="000A288A"/>
    <w:rsid w:val="000A3B8C"/>
    <w:rsid w:val="000A59C9"/>
    <w:rsid w:val="000B00B5"/>
    <w:rsid w:val="000B1712"/>
    <w:rsid w:val="000B6280"/>
    <w:rsid w:val="000B6890"/>
    <w:rsid w:val="000C0F5F"/>
    <w:rsid w:val="000C34A2"/>
    <w:rsid w:val="000C3636"/>
    <w:rsid w:val="000C51BC"/>
    <w:rsid w:val="000C7660"/>
    <w:rsid w:val="000D61BA"/>
    <w:rsid w:val="000D7016"/>
    <w:rsid w:val="000E4893"/>
    <w:rsid w:val="000E6082"/>
    <w:rsid w:val="000E7AB0"/>
    <w:rsid w:val="000F14DC"/>
    <w:rsid w:val="000F2240"/>
    <w:rsid w:val="000F4D3E"/>
    <w:rsid w:val="000F52B3"/>
    <w:rsid w:val="000F74F8"/>
    <w:rsid w:val="001001AA"/>
    <w:rsid w:val="00101E5C"/>
    <w:rsid w:val="0010209B"/>
    <w:rsid w:val="00107323"/>
    <w:rsid w:val="001079BE"/>
    <w:rsid w:val="00116F2F"/>
    <w:rsid w:val="0011778A"/>
    <w:rsid w:val="0012080A"/>
    <w:rsid w:val="00122CC4"/>
    <w:rsid w:val="00126DD0"/>
    <w:rsid w:val="00126E18"/>
    <w:rsid w:val="00130455"/>
    <w:rsid w:val="00134F46"/>
    <w:rsid w:val="00136C6F"/>
    <w:rsid w:val="00140B97"/>
    <w:rsid w:val="00143A42"/>
    <w:rsid w:val="0014425C"/>
    <w:rsid w:val="00147F14"/>
    <w:rsid w:val="00150FD4"/>
    <w:rsid w:val="001520F5"/>
    <w:rsid w:val="0015721F"/>
    <w:rsid w:val="001631E3"/>
    <w:rsid w:val="0016327D"/>
    <w:rsid w:val="00172AAA"/>
    <w:rsid w:val="0017317F"/>
    <w:rsid w:val="00176E68"/>
    <w:rsid w:val="00177252"/>
    <w:rsid w:val="00182A1F"/>
    <w:rsid w:val="00184EDA"/>
    <w:rsid w:val="00185FCB"/>
    <w:rsid w:val="00191D55"/>
    <w:rsid w:val="001A325A"/>
    <w:rsid w:val="001B2DE0"/>
    <w:rsid w:val="001B7421"/>
    <w:rsid w:val="001C18E3"/>
    <w:rsid w:val="001C2E33"/>
    <w:rsid w:val="001C38E4"/>
    <w:rsid w:val="001D054E"/>
    <w:rsid w:val="001D0F5A"/>
    <w:rsid w:val="001E0AF3"/>
    <w:rsid w:val="001E10D4"/>
    <w:rsid w:val="001E3777"/>
    <w:rsid w:val="001E414A"/>
    <w:rsid w:val="001E4910"/>
    <w:rsid w:val="001F5101"/>
    <w:rsid w:val="001F52DF"/>
    <w:rsid w:val="0020165E"/>
    <w:rsid w:val="002055B7"/>
    <w:rsid w:val="00210AE7"/>
    <w:rsid w:val="0021151C"/>
    <w:rsid w:val="00211A57"/>
    <w:rsid w:val="00211DBA"/>
    <w:rsid w:val="0021756F"/>
    <w:rsid w:val="00217A56"/>
    <w:rsid w:val="002408C0"/>
    <w:rsid w:val="00242B82"/>
    <w:rsid w:val="00244668"/>
    <w:rsid w:val="00257D7F"/>
    <w:rsid w:val="00271507"/>
    <w:rsid w:val="0027222C"/>
    <w:rsid w:val="00273079"/>
    <w:rsid w:val="00275453"/>
    <w:rsid w:val="0028093C"/>
    <w:rsid w:val="002843CA"/>
    <w:rsid w:val="00284B04"/>
    <w:rsid w:val="002A2D0D"/>
    <w:rsid w:val="002A3D02"/>
    <w:rsid w:val="002A4FA2"/>
    <w:rsid w:val="002A5E6F"/>
    <w:rsid w:val="002A7C99"/>
    <w:rsid w:val="002B182F"/>
    <w:rsid w:val="002B41B9"/>
    <w:rsid w:val="002B45A4"/>
    <w:rsid w:val="002B59BA"/>
    <w:rsid w:val="002B6394"/>
    <w:rsid w:val="002B730F"/>
    <w:rsid w:val="002B7A83"/>
    <w:rsid w:val="002C073C"/>
    <w:rsid w:val="002C280F"/>
    <w:rsid w:val="002C2882"/>
    <w:rsid w:val="002C4560"/>
    <w:rsid w:val="002C63CB"/>
    <w:rsid w:val="002C6B06"/>
    <w:rsid w:val="002D0C6F"/>
    <w:rsid w:val="002D142C"/>
    <w:rsid w:val="002D492F"/>
    <w:rsid w:val="002D6ADA"/>
    <w:rsid w:val="002E13E0"/>
    <w:rsid w:val="002E7A3A"/>
    <w:rsid w:val="002E7E74"/>
    <w:rsid w:val="002F01DE"/>
    <w:rsid w:val="00300FBF"/>
    <w:rsid w:val="003026C5"/>
    <w:rsid w:val="0031278D"/>
    <w:rsid w:val="003140FF"/>
    <w:rsid w:val="003167CE"/>
    <w:rsid w:val="003205DB"/>
    <w:rsid w:val="00327251"/>
    <w:rsid w:val="00331C48"/>
    <w:rsid w:val="00334AA4"/>
    <w:rsid w:val="00335303"/>
    <w:rsid w:val="00336A2B"/>
    <w:rsid w:val="00341226"/>
    <w:rsid w:val="00350E1B"/>
    <w:rsid w:val="00352548"/>
    <w:rsid w:val="00360E54"/>
    <w:rsid w:val="0036600F"/>
    <w:rsid w:val="00367558"/>
    <w:rsid w:val="00372FC5"/>
    <w:rsid w:val="0038036F"/>
    <w:rsid w:val="003804BE"/>
    <w:rsid w:val="00380740"/>
    <w:rsid w:val="00392CC8"/>
    <w:rsid w:val="003930DA"/>
    <w:rsid w:val="00393306"/>
    <w:rsid w:val="00394E4A"/>
    <w:rsid w:val="003A16A9"/>
    <w:rsid w:val="003B1222"/>
    <w:rsid w:val="003B2D2E"/>
    <w:rsid w:val="003C0647"/>
    <w:rsid w:val="003E17A7"/>
    <w:rsid w:val="003E5A24"/>
    <w:rsid w:val="003E6A3A"/>
    <w:rsid w:val="003F54E7"/>
    <w:rsid w:val="00401069"/>
    <w:rsid w:val="00404D47"/>
    <w:rsid w:val="00406CF8"/>
    <w:rsid w:val="00410CFD"/>
    <w:rsid w:val="0041176B"/>
    <w:rsid w:val="0041489A"/>
    <w:rsid w:val="00417032"/>
    <w:rsid w:val="00422B62"/>
    <w:rsid w:val="004245EA"/>
    <w:rsid w:val="004258C9"/>
    <w:rsid w:val="004301E5"/>
    <w:rsid w:val="004306FF"/>
    <w:rsid w:val="00434428"/>
    <w:rsid w:val="00445FCF"/>
    <w:rsid w:val="004477BD"/>
    <w:rsid w:val="00456C32"/>
    <w:rsid w:val="00470165"/>
    <w:rsid w:val="004724A8"/>
    <w:rsid w:val="00474A79"/>
    <w:rsid w:val="00475036"/>
    <w:rsid w:val="004864DC"/>
    <w:rsid w:val="004A138D"/>
    <w:rsid w:val="004A27FD"/>
    <w:rsid w:val="004A571B"/>
    <w:rsid w:val="004B0A4B"/>
    <w:rsid w:val="004B0C77"/>
    <w:rsid w:val="004B6C74"/>
    <w:rsid w:val="004C2905"/>
    <w:rsid w:val="004D3B14"/>
    <w:rsid w:val="004D6277"/>
    <w:rsid w:val="004E50CD"/>
    <w:rsid w:val="004E5E5E"/>
    <w:rsid w:val="004F04C2"/>
    <w:rsid w:val="004F09C9"/>
    <w:rsid w:val="004F1D2F"/>
    <w:rsid w:val="004F2A98"/>
    <w:rsid w:val="004F3681"/>
    <w:rsid w:val="004F4B56"/>
    <w:rsid w:val="004F6473"/>
    <w:rsid w:val="004F68BC"/>
    <w:rsid w:val="00500C95"/>
    <w:rsid w:val="00502662"/>
    <w:rsid w:val="0051000F"/>
    <w:rsid w:val="00511A03"/>
    <w:rsid w:val="005136D4"/>
    <w:rsid w:val="00517495"/>
    <w:rsid w:val="005175DC"/>
    <w:rsid w:val="00534A1A"/>
    <w:rsid w:val="005350B0"/>
    <w:rsid w:val="0053516B"/>
    <w:rsid w:val="005358AC"/>
    <w:rsid w:val="00544983"/>
    <w:rsid w:val="00545888"/>
    <w:rsid w:val="0055069D"/>
    <w:rsid w:val="00555D95"/>
    <w:rsid w:val="00557645"/>
    <w:rsid w:val="005633D6"/>
    <w:rsid w:val="005635DB"/>
    <w:rsid w:val="005644AB"/>
    <w:rsid w:val="005661FE"/>
    <w:rsid w:val="0057165C"/>
    <w:rsid w:val="00571D24"/>
    <w:rsid w:val="00572678"/>
    <w:rsid w:val="0057378E"/>
    <w:rsid w:val="0057585A"/>
    <w:rsid w:val="00581513"/>
    <w:rsid w:val="005915F7"/>
    <w:rsid w:val="00591648"/>
    <w:rsid w:val="00594490"/>
    <w:rsid w:val="005A130C"/>
    <w:rsid w:val="005A332A"/>
    <w:rsid w:val="005A3F79"/>
    <w:rsid w:val="005B4398"/>
    <w:rsid w:val="005B5E50"/>
    <w:rsid w:val="005C176A"/>
    <w:rsid w:val="005C2DB7"/>
    <w:rsid w:val="005C694E"/>
    <w:rsid w:val="005D50E5"/>
    <w:rsid w:val="005E0C94"/>
    <w:rsid w:val="005E3FF6"/>
    <w:rsid w:val="005E57EA"/>
    <w:rsid w:val="005E68A1"/>
    <w:rsid w:val="005F148A"/>
    <w:rsid w:val="005F1A72"/>
    <w:rsid w:val="005F307F"/>
    <w:rsid w:val="005F5DAD"/>
    <w:rsid w:val="006017F2"/>
    <w:rsid w:val="00606ADF"/>
    <w:rsid w:val="00610503"/>
    <w:rsid w:val="00611846"/>
    <w:rsid w:val="0061380D"/>
    <w:rsid w:val="00616296"/>
    <w:rsid w:val="006168CE"/>
    <w:rsid w:val="00616B7E"/>
    <w:rsid w:val="0062123F"/>
    <w:rsid w:val="00622391"/>
    <w:rsid w:val="006269AD"/>
    <w:rsid w:val="0063491D"/>
    <w:rsid w:val="00634FBA"/>
    <w:rsid w:val="00637B01"/>
    <w:rsid w:val="006411D1"/>
    <w:rsid w:val="006417A7"/>
    <w:rsid w:val="00641D88"/>
    <w:rsid w:val="006422F5"/>
    <w:rsid w:val="00644B09"/>
    <w:rsid w:val="006458CF"/>
    <w:rsid w:val="0064597E"/>
    <w:rsid w:val="00646E7F"/>
    <w:rsid w:val="00653032"/>
    <w:rsid w:val="00653930"/>
    <w:rsid w:val="00656C87"/>
    <w:rsid w:val="006605AF"/>
    <w:rsid w:val="00663553"/>
    <w:rsid w:val="00670EF9"/>
    <w:rsid w:val="006721BF"/>
    <w:rsid w:val="00684723"/>
    <w:rsid w:val="00690053"/>
    <w:rsid w:val="00690FAF"/>
    <w:rsid w:val="00691D62"/>
    <w:rsid w:val="00695546"/>
    <w:rsid w:val="006978E4"/>
    <w:rsid w:val="006A007C"/>
    <w:rsid w:val="006A151F"/>
    <w:rsid w:val="006A1591"/>
    <w:rsid w:val="006A36D1"/>
    <w:rsid w:val="006A5758"/>
    <w:rsid w:val="006B18A9"/>
    <w:rsid w:val="006B3BDA"/>
    <w:rsid w:val="006B3F5C"/>
    <w:rsid w:val="006B4B79"/>
    <w:rsid w:val="006B50A6"/>
    <w:rsid w:val="006C12DA"/>
    <w:rsid w:val="006C2880"/>
    <w:rsid w:val="006D3C39"/>
    <w:rsid w:val="006D6565"/>
    <w:rsid w:val="006E0E1F"/>
    <w:rsid w:val="006E1CE9"/>
    <w:rsid w:val="006E2443"/>
    <w:rsid w:val="006E37D7"/>
    <w:rsid w:val="007009E5"/>
    <w:rsid w:val="00707E3D"/>
    <w:rsid w:val="00710740"/>
    <w:rsid w:val="007256EE"/>
    <w:rsid w:val="00726914"/>
    <w:rsid w:val="007270EA"/>
    <w:rsid w:val="00734A6A"/>
    <w:rsid w:val="00734E75"/>
    <w:rsid w:val="0074101C"/>
    <w:rsid w:val="00745B01"/>
    <w:rsid w:val="00746535"/>
    <w:rsid w:val="007478C6"/>
    <w:rsid w:val="0075197F"/>
    <w:rsid w:val="00763B50"/>
    <w:rsid w:val="00766699"/>
    <w:rsid w:val="007724D1"/>
    <w:rsid w:val="007773F4"/>
    <w:rsid w:val="00793BA5"/>
    <w:rsid w:val="007A0A51"/>
    <w:rsid w:val="007A62B5"/>
    <w:rsid w:val="007A6F1E"/>
    <w:rsid w:val="007A6FA3"/>
    <w:rsid w:val="007A70DA"/>
    <w:rsid w:val="007B2A8D"/>
    <w:rsid w:val="007B3976"/>
    <w:rsid w:val="007B6199"/>
    <w:rsid w:val="007C046C"/>
    <w:rsid w:val="007C1333"/>
    <w:rsid w:val="007C2D35"/>
    <w:rsid w:val="007C2D7B"/>
    <w:rsid w:val="007C4A45"/>
    <w:rsid w:val="007C735B"/>
    <w:rsid w:val="007D2069"/>
    <w:rsid w:val="007E579E"/>
    <w:rsid w:val="007E5ED9"/>
    <w:rsid w:val="00803D7E"/>
    <w:rsid w:val="00811362"/>
    <w:rsid w:val="008212AA"/>
    <w:rsid w:val="00823662"/>
    <w:rsid w:val="008245C2"/>
    <w:rsid w:val="00827026"/>
    <w:rsid w:val="00834414"/>
    <w:rsid w:val="00834A9C"/>
    <w:rsid w:val="00835314"/>
    <w:rsid w:val="00837B89"/>
    <w:rsid w:val="0084432E"/>
    <w:rsid w:val="00846A02"/>
    <w:rsid w:val="00852D2B"/>
    <w:rsid w:val="0085309B"/>
    <w:rsid w:val="00856009"/>
    <w:rsid w:val="00862654"/>
    <w:rsid w:val="00862CA8"/>
    <w:rsid w:val="00863934"/>
    <w:rsid w:val="0086635B"/>
    <w:rsid w:val="00867491"/>
    <w:rsid w:val="00873966"/>
    <w:rsid w:val="00876CEF"/>
    <w:rsid w:val="00880A20"/>
    <w:rsid w:val="00882602"/>
    <w:rsid w:val="00882909"/>
    <w:rsid w:val="008860CC"/>
    <w:rsid w:val="008873B6"/>
    <w:rsid w:val="0089163B"/>
    <w:rsid w:val="008953E0"/>
    <w:rsid w:val="00896014"/>
    <w:rsid w:val="008A165C"/>
    <w:rsid w:val="008A653C"/>
    <w:rsid w:val="008A7C08"/>
    <w:rsid w:val="008B689B"/>
    <w:rsid w:val="008C01A6"/>
    <w:rsid w:val="008C35CA"/>
    <w:rsid w:val="008D3B4A"/>
    <w:rsid w:val="008E0C90"/>
    <w:rsid w:val="008E429F"/>
    <w:rsid w:val="008F155D"/>
    <w:rsid w:val="008F7E32"/>
    <w:rsid w:val="0090351A"/>
    <w:rsid w:val="00906C1B"/>
    <w:rsid w:val="00910D41"/>
    <w:rsid w:val="009216B1"/>
    <w:rsid w:val="0092577F"/>
    <w:rsid w:val="00937369"/>
    <w:rsid w:val="0094640F"/>
    <w:rsid w:val="009519AC"/>
    <w:rsid w:val="00952AF1"/>
    <w:rsid w:val="009551BD"/>
    <w:rsid w:val="00957743"/>
    <w:rsid w:val="00957C67"/>
    <w:rsid w:val="009604C9"/>
    <w:rsid w:val="009660A5"/>
    <w:rsid w:val="0097685B"/>
    <w:rsid w:val="00984078"/>
    <w:rsid w:val="009924B7"/>
    <w:rsid w:val="00996E92"/>
    <w:rsid w:val="009A0476"/>
    <w:rsid w:val="009A0F0E"/>
    <w:rsid w:val="009A29FF"/>
    <w:rsid w:val="009A47A1"/>
    <w:rsid w:val="009A4976"/>
    <w:rsid w:val="009A5D86"/>
    <w:rsid w:val="009A796F"/>
    <w:rsid w:val="009B00B6"/>
    <w:rsid w:val="009B014E"/>
    <w:rsid w:val="009B021A"/>
    <w:rsid w:val="009B0EA3"/>
    <w:rsid w:val="009B141A"/>
    <w:rsid w:val="009B286D"/>
    <w:rsid w:val="009B344B"/>
    <w:rsid w:val="009B5AFC"/>
    <w:rsid w:val="009C3C51"/>
    <w:rsid w:val="009C4555"/>
    <w:rsid w:val="009D106A"/>
    <w:rsid w:val="009D1599"/>
    <w:rsid w:val="009D5A8D"/>
    <w:rsid w:val="009E06B0"/>
    <w:rsid w:val="009E0DCE"/>
    <w:rsid w:val="009E15C9"/>
    <w:rsid w:val="009E1D12"/>
    <w:rsid w:val="009E5810"/>
    <w:rsid w:val="009E58B0"/>
    <w:rsid w:val="009E7F8B"/>
    <w:rsid w:val="009F108B"/>
    <w:rsid w:val="009F142B"/>
    <w:rsid w:val="009F16DC"/>
    <w:rsid w:val="009F4DFB"/>
    <w:rsid w:val="00A01024"/>
    <w:rsid w:val="00A024C7"/>
    <w:rsid w:val="00A04D97"/>
    <w:rsid w:val="00A06431"/>
    <w:rsid w:val="00A1693F"/>
    <w:rsid w:val="00A207FD"/>
    <w:rsid w:val="00A23EBD"/>
    <w:rsid w:val="00A3004F"/>
    <w:rsid w:val="00A33A79"/>
    <w:rsid w:val="00A40FD7"/>
    <w:rsid w:val="00A41CCD"/>
    <w:rsid w:val="00A45C46"/>
    <w:rsid w:val="00A546D4"/>
    <w:rsid w:val="00A54C2F"/>
    <w:rsid w:val="00A574F3"/>
    <w:rsid w:val="00A61C3B"/>
    <w:rsid w:val="00A71F5D"/>
    <w:rsid w:val="00A75620"/>
    <w:rsid w:val="00A757D9"/>
    <w:rsid w:val="00A76C2A"/>
    <w:rsid w:val="00A870BD"/>
    <w:rsid w:val="00A93B2D"/>
    <w:rsid w:val="00A93FE4"/>
    <w:rsid w:val="00AA5D29"/>
    <w:rsid w:val="00AA736E"/>
    <w:rsid w:val="00AB07D3"/>
    <w:rsid w:val="00AB340B"/>
    <w:rsid w:val="00AB3EBC"/>
    <w:rsid w:val="00AB60BA"/>
    <w:rsid w:val="00AB6D72"/>
    <w:rsid w:val="00AC796F"/>
    <w:rsid w:val="00AE4053"/>
    <w:rsid w:val="00AE49CE"/>
    <w:rsid w:val="00AE5C27"/>
    <w:rsid w:val="00AF20FE"/>
    <w:rsid w:val="00AF22A2"/>
    <w:rsid w:val="00AF282F"/>
    <w:rsid w:val="00AF3635"/>
    <w:rsid w:val="00B02044"/>
    <w:rsid w:val="00B03752"/>
    <w:rsid w:val="00B11C93"/>
    <w:rsid w:val="00B124E2"/>
    <w:rsid w:val="00B1265C"/>
    <w:rsid w:val="00B20121"/>
    <w:rsid w:val="00B330DB"/>
    <w:rsid w:val="00B34AB9"/>
    <w:rsid w:val="00B37381"/>
    <w:rsid w:val="00B43D57"/>
    <w:rsid w:val="00B44B14"/>
    <w:rsid w:val="00B45832"/>
    <w:rsid w:val="00B475DE"/>
    <w:rsid w:val="00B47EF5"/>
    <w:rsid w:val="00B50D96"/>
    <w:rsid w:val="00B521A4"/>
    <w:rsid w:val="00B53506"/>
    <w:rsid w:val="00B53FFD"/>
    <w:rsid w:val="00B60899"/>
    <w:rsid w:val="00B71B76"/>
    <w:rsid w:val="00B73879"/>
    <w:rsid w:val="00B836D9"/>
    <w:rsid w:val="00B85A21"/>
    <w:rsid w:val="00B90B48"/>
    <w:rsid w:val="00B9267A"/>
    <w:rsid w:val="00B939BF"/>
    <w:rsid w:val="00B96183"/>
    <w:rsid w:val="00BA2EA0"/>
    <w:rsid w:val="00BA3CCD"/>
    <w:rsid w:val="00BB03DB"/>
    <w:rsid w:val="00BB6A9B"/>
    <w:rsid w:val="00BC30A0"/>
    <w:rsid w:val="00BD232A"/>
    <w:rsid w:val="00BD46B3"/>
    <w:rsid w:val="00BE3EFA"/>
    <w:rsid w:val="00BE4013"/>
    <w:rsid w:val="00BE4B98"/>
    <w:rsid w:val="00BE5766"/>
    <w:rsid w:val="00BF11BF"/>
    <w:rsid w:val="00BF5BE0"/>
    <w:rsid w:val="00BF6C3C"/>
    <w:rsid w:val="00C02DE7"/>
    <w:rsid w:val="00C04DD2"/>
    <w:rsid w:val="00C06EB4"/>
    <w:rsid w:val="00C12457"/>
    <w:rsid w:val="00C12B3A"/>
    <w:rsid w:val="00C1598A"/>
    <w:rsid w:val="00C17684"/>
    <w:rsid w:val="00C17A26"/>
    <w:rsid w:val="00C2303C"/>
    <w:rsid w:val="00C241C0"/>
    <w:rsid w:val="00C25DA9"/>
    <w:rsid w:val="00C3131D"/>
    <w:rsid w:val="00C31BC6"/>
    <w:rsid w:val="00C3423F"/>
    <w:rsid w:val="00C3455A"/>
    <w:rsid w:val="00C35A99"/>
    <w:rsid w:val="00C43A0F"/>
    <w:rsid w:val="00C444A1"/>
    <w:rsid w:val="00C462B1"/>
    <w:rsid w:val="00C4650C"/>
    <w:rsid w:val="00C5241D"/>
    <w:rsid w:val="00C63500"/>
    <w:rsid w:val="00C66D69"/>
    <w:rsid w:val="00C709CC"/>
    <w:rsid w:val="00C777FB"/>
    <w:rsid w:val="00C77BAA"/>
    <w:rsid w:val="00C84A06"/>
    <w:rsid w:val="00C91334"/>
    <w:rsid w:val="00C93029"/>
    <w:rsid w:val="00C97290"/>
    <w:rsid w:val="00CB575A"/>
    <w:rsid w:val="00CB72F8"/>
    <w:rsid w:val="00CC2CA9"/>
    <w:rsid w:val="00CC45EA"/>
    <w:rsid w:val="00CC74FC"/>
    <w:rsid w:val="00CD4AE6"/>
    <w:rsid w:val="00CD7D04"/>
    <w:rsid w:val="00CE0144"/>
    <w:rsid w:val="00CE219C"/>
    <w:rsid w:val="00CF13B6"/>
    <w:rsid w:val="00CF31DE"/>
    <w:rsid w:val="00CF6C93"/>
    <w:rsid w:val="00D00992"/>
    <w:rsid w:val="00D03138"/>
    <w:rsid w:val="00D047BD"/>
    <w:rsid w:val="00D04E6D"/>
    <w:rsid w:val="00D06C60"/>
    <w:rsid w:val="00D07879"/>
    <w:rsid w:val="00D07C81"/>
    <w:rsid w:val="00D10813"/>
    <w:rsid w:val="00D10892"/>
    <w:rsid w:val="00D16DE0"/>
    <w:rsid w:val="00D21BC7"/>
    <w:rsid w:val="00D22718"/>
    <w:rsid w:val="00D309C0"/>
    <w:rsid w:val="00D41A42"/>
    <w:rsid w:val="00D430CC"/>
    <w:rsid w:val="00D44E41"/>
    <w:rsid w:val="00D45B3B"/>
    <w:rsid w:val="00D50D1D"/>
    <w:rsid w:val="00D53F0F"/>
    <w:rsid w:val="00D54AC9"/>
    <w:rsid w:val="00D6036D"/>
    <w:rsid w:val="00D626C4"/>
    <w:rsid w:val="00D81E4E"/>
    <w:rsid w:val="00D84730"/>
    <w:rsid w:val="00D8684E"/>
    <w:rsid w:val="00D86D63"/>
    <w:rsid w:val="00D956DB"/>
    <w:rsid w:val="00D95A55"/>
    <w:rsid w:val="00DA24DA"/>
    <w:rsid w:val="00DA5924"/>
    <w:rsid w:val="00DA621C"/>
    <w:rsid w:val="00DB331F"/>
    <w:rsid w:val="00DB6431"/>
    <w:rsid w:val="00DB79A9"/>
    <w:rsid w:val="00DC4EB4"/>
    <w:rsid w:val="00DC5599"/>
    <w:rsid w:val="00DC7035"/>
    <w:rsid w:val="00DD15FD"/>
    <w:rsid w:val="00DD2824"/>
    <w:rsid w:val="00DD5C2E"/>
    <w:rsid w:val="00DD7FDB"/>
    <w:rsid w:val="00DE34B6"/>
    <w:rsid w:val="00DF0B1D"/>
    <w:rsid w:val="00DF54EB"/>
    <w:rsid w:val="00DF5C05"/>
    <w:rsid w:val="00E0376C"/>
    <w:rsid w:val="00E14A3C"/>
    <w:rsid w:val="00E155AD"/>
    <w:rsid w:val="00E15700"/>
    <w:rsid w:val="00E16475"/>
    <w:rsid w:val="00E16C2C"/>
    <w:rsid w:val="00E22DAA"/>
    <w:rsid w:val="00E42AD6"/>
    <w:rsid w:val="00E465C5"/>
    <w:rsid w:val="00E529DB"/>
    <w:rsid w:val="00E61453"/>
    <w:rsid w:val="00E6375F"/>
    <w:rsid w:val="00E669FC"/>
    <w:rsid w:val="00E82DB4"/>
    <w:rsid w:val="00E850F4"/>
    <w:rsid w:val="00E85D62"/>
    <w:rsid w:val="00E9259A"/>
    <w:rsid w:val="00E972EF"/>
    <w:rsid w:val="00EA57E1"/>
    <w:rsid w:val="00EA7C7A"/>
    <w:rsid w:val="00EB14CF"/>
    <w:rsid w:val="00EB5E7A"/>
    <w:rsid w:val="00EC727D"/>
    <w:rsid w:val="00EC792D"/>
    <w:rsid w:val="00ED1966"/>
    <w:rsid w:val="00ED1A69"/>
    <w:rsid w:val="00ED27DC"/>
    <w:rsid w:val="00ED4CC9"/>
    <w:rsid w:val="00ED5D3C"/>
    <w:rsid w:val="00ED5D7E"/>
    <w:rsid w:val="00EE3F3E"/>
    <w:rsid w:val="00EE52F2"/>
    <w:rsid w:val="00EE5766"/>
    <w:rsid w:val="00EE6E9A"/>
    <w:rsid w:val="00EF27F8"/>
    <w:rsid w:val="00F017D4"/>
    <w:rsid w:val="00F026D2"/>
    <w:rsid w:val="00F13E82"/>
    <w:rsid w:val="00F157A6"/>
    <w:rsid w:val="00F17769"/>
    <w:rsid w:val="00F25C83"/>
    <w:rsid w:val="00F41EA6"/>
    <w:rsid w:val="00F50F79"/>
    <w:rsid w:val="00F55323"/>
    <w:rsid w:val="00F556FD"/>
    <w:rsid w:val="00F605FB"/>
    <w:rsid w:val="00F623AC"/>
    <w:rsid w:val="00F62FC0"/>
    <w:rsid w:val="00F66D05"/>
    <w:rsid w:val="00F7135D"/>
    <w:rsid w:val="00F7709E"/>
    <w:rsid w:val="00F779C1"/>
    <w:rsid w:val="00F80866"/>
    <w:rsid w:val="00F8116B"/>
    <w:rsid w:val="00F82376"/>
    <w:rsid w:val="00F85B22"/>
    <w:rsid w:val="00F87B96"/>
    <w:rsid w:val="00F96048"/>
    <w:rsid w:val="00FA2170"/>
    <w:rsid w:val="00FA6B69"/>
    <w:rsid w:val="00FB1D0B"/>
    <w:rsid w:val="00FC1C55"/>
    <w:rsid w:val="00FC3BEB"/>
    <w:rsid w:val="00FD0352"/>
    <w:rsid w:val="00FD714C"/>
    <w:rsid w:val="00FD7481"/>
    <w:rsid w:val="00FE4F7E"/>
    <w:rsid w:val="00FE73CE"/>
    <w:rsid w:val="00FF549C"/>
    <w:rsid w:val="00FF5A4F"/>
    <w:rsid w:val="00FF6503"/>
    <w:rsid w:val="00FF6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7E0B9"/>
  <w15:chartTrackingRefBased/>
  <w15:docId w15:val="{013CB919-3947-4F72-8DBD-6DD82877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645"/>
    <w:pPr>
      <w:spacing w:line="259" w:lineRule="auto"/>
    </w:pPr>
    <w:rPr>
      <w:kern w:val="0"/>
      <w:sz w:val="22"/>
      <w:szCs w:val="22"/>
      <w:lang w:val="en-GB"/>
    </w:rPr>
  </w:style>
  <w:style w:type="paragraph" w:styleId="Heading1">
    <w:name w:val="heading 1"/>
    <w:basedOn w:val="Normal"/>
    <w:next w:val="Normal"/>
    <w:link w:val="Heading1Char"/>
    <w:uiPriority w:val="9"/>
    <w:qFormat/>
    <w:rsid w:val="00557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7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7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645"/>
    <w:rPr>
      <w:rFonts w:eastAsiaTheme="majorEastAsia" w:cstheme="majorBidi"/>
      <w:color w:val="272727" w:themeColor="text1" w:themeTint="D8"/>
    </w:rPr>
  </w:style>
  <w:style w:type="paragraph" w:styleId="Title">
    <w:name w:val="Title"/>
    <w:basedOn w:val="Normal"/>
    <w:next w:val="Normal"/>
    <w:link w:val="TitleChar"/>
    <w:uiPriority w:val="10"/>
    <w:qFormat/>
    <w:rsid w:val="00557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645"/>
    <w:pPr>
      <w:spacing w:before="160"/>
      <w:jc w:val="center"/>
    </w:pPr>
    <w:rPr>
      <w:i/>
      <w:iCs/>
      <w:color w:val="404040" w:themeColor="text1" w:themeTint="BF"/>
    </w:rPr>
  </w:style>
  <w:style w:type="character" w:customStyle="1" w:styleId="QuoteChar">
    <w:name w:val="Quote Char"/>
    <w:basedOn w:val="DefaultParagraphFont"/>
    <w:link w:val="Quote"/>
    <w:uiPriority w:val="29"/>
    <w:rsid w:val="00557645"/>
    <w:rPr>
      <w:i/>
      <w:iCs/>
      <w:color w:val="404040" w:themeColor="text1" w:themeTint="BF"/>
    </w:rPr>
  </w:style>
  <w:style w:type="paragraph" w:styleId="ListParagraph">
    <w:name w:val="List Paragraph"/>
    <w:basedOn w:val="Normal"/>
    <w:uiPriority w:val="34"/>
    <w:qFormat/>
    <w:rsid w:val="00557645"/>
    <w:pPr>
      <w:ind w:left="720"/>
      <w:contextualSpacing/>
    </w:pPr>
  </w:style>
  <w:style w:type="character" w:styleId="IntenseEmphasis">
    <w:name w:val="Intense Emphasis"/>
    <w:basedOn w:val="DefaultParagraphFont"/>
    <w:uiPriority w:val="21"/>
    <w:qFormat/>
    <w:rsid w:val="00557645"/>
    <w:rPr>
      <w:i/>
      <w:iCs/>
      <w:color w:val="0F4761" w:themeColor="accent1" w:themeShade="BF"/>
    </w:rPr>
  </w:style>
  <w:style w:type="paragraph" w:styleId="IntenseQuote">
    <w:name w:val="Intense Quote"/>
    <w:basedOn w:val="Normal"/>
    <w:next w:val="Normal"/>
    <w:link w:val="IntenseQuoteChar"/>
    <w:uiPriority w:val="30"/>
    <w:qFormat/>
    <w:rsid w:val="00557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645"/>
    <w:rPr>
      <w:i/>
      <w:iCs/>
      <w:color w:val="0F4761" w:themeColor="accent1" w:themeShade="BF"/>
    </w:rPr>
  </w:style>
  <w:style w:type="character" w:styleId="IntenseReference">
    <w:name w:val="Intense Reference"/>
    <w:basedOn w:val="DefaultParagraphFont"/>
    <w:uiPriority w:val="32"/>
    <w:qFormat/>
    <w:rsid w:val="00557645"/>
    <w:rPr>
      <w:b/>
      <w:bCs/>
      <w:smallCaps/>
      <w:color w:val="0F4761" w:themeColor="accent1" w:themeShade="BF"/>
      <w:spacing w:val="5"/>
    </w:rPr>
  </w:style>
  <w:style w:type="character" w:styleId="CommentReference">
    <w:name w:val="annotation reference"/>
    <w:basedOn w:val="DefaultParagraphFont"/>
    <w:uiPriority w:val="99"/>
    <w:semiHidden/>
    <w:unhideWhenUsed/>
    <w:rsid w:val="00557645"/>
    <w:rPr>
      <w:sz w:val="16"/>
      <w:szCs w:val="16"/>
    </w:rPr>
  </w:style>
  <w:style w:type="paragraph" w:styleId="CommentText">
    <w:name w:val="annotation text"/>
    <w:basedOn w:val="Normal"/>
    <w:link w:val="CommentTextChar"/>
    <w:uiPriority w:val="99"/>
    <w:unhideWhenUsed/>
    <w:rsid w:val="00557645"/>
    <w:pPr>
      <w:spacing w:line="240" w:lineRule="auto"/>
    </w:pPr>
    <w:rPr>
      <w:sz w:val="20"/>
      <w:szCs w:val="20"/>
    </w:rPr>
  </w:style>
  <w:style w:type="character" w:customStyle="1" w:styleId="CommentTextChar">
    <w:name w:val="Comment Text Char"/>
    <w:basedOn w:val="DefaultParagraphFont"/>
    <w:link w:val="CommentText"/>
    <w:uiPriority w:val="99"/>
    <w:rsid w:val="00557645"/>
    <w:rPr>
      <w:kern w:val="0"/>
      <w:sz w:val="20"/>
      <w:szCs w:val="20"/>
      <w:lang w:val="en-GB"/>
    </w:rPr>
  </w:style>
  <w:style w:type="character" w:styleId="Hyperlink">
    <w:name w:val="Hyperlink"/>
    <w:basedOn w:val="DefaultParagraphFont"/>
    <w:uiPriority w:val="99"/>
    <w:unhideWhenUsed/>
    <w:rsid w:val="00557645"/>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C709CC"/>
    <w:rPr>
      <w:b/>
      <w:bCs/>
    </w:rPr>
  </w:style>
  <w:style w:type="character" w:customStyle="1" w:styleId="CommentSubjectChar">
    <w:name w:val="Comment Subject Char"/>
    <w:basedOn w:val="CommentTextChar"/>
    <w:link w:val="CommentSubject"/>
    <w:uiPriority w:val="99"/>
    <w:semiHidden/>
    <w:rsid w:val="00C709CC"/>
    <w:rPr>
      <w:b/>
      <w:bCs/>
      <w:kern w:val="0"/>
      <w:sz w:val="20"/>
      <w:szCs w:val="20"/>
      <w:lang w:val="en-GB"/>
    </w:rPr>
  </w:style>
  <w:style w:type="character" w:styleId="UnresolvedMention">
    <w:name w:val="Unresolved Mention"/>
    <w:basedOn w:val="DefaultParagraphFont"/>
    <w:uiPriority w:val="99"/>
    <w:semiHidden/>
    <w:unhideWhenUsed/>
    <w:rsid w:val="00410CFD"/>
    <w:rPr>
      <w:color w:val="605E5C"/>
      <w:shd w:val="clear" w:color="auto" w:fill="E1DFDD"/>
    </w:rPr>
  </w:style>
  <w:style w:type="paragraph" w:styleId="Revision">
    <w:name w:val="Revision"/>
    <w:hidden/>
    <w:uiPriority w:val="99"/>
    <w:semiHidden/>
    <w:rsid w:val="009E58B0"/>
    <w:pPr>
      <w:spacing w:after="0" w:line="240" w:lineRule="auto"/>
    </w:pPr>
    <w:rPr>
      <w:kern w:val="0"/>
      <w:sz w:val="22"/>
      <w:szCs w:val="22"/>
      <w:lang w:val="en-GB"/>
    </w:rPr>
  </w:style>
  <w:style w:type="table" w:styleId="TableGrid">
    <w:name w:val="Table Grid"/>
    <w:basedOn w:val="TableNormal"/>
    <w:uiPriority w:val="39"/>
    <w:rsid w:val="00751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530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hrome-extension://efaidnbmnnnibpcajpcglclefindmkaj/https:/www.theconsumergoodsforum.com/wp-content/uploads/2023/05/Building-a-Circular-Economy-for-Packaging-April-2023.pdf" TargetMode="External"/><Relationship Id="rId5" Type="http://schemas.openxmlformats.org/officeDocument/2006/relationships/numbering" Target="numbering.xml"/><Relationship Id="rId10" Type="http://schemas.openxmlformats.org/officeDocument/2006/relationships/hyperlink" Target="https://expra.eu/beliefs/" TargetMode="External"/><Relationship Id="rId4" Type="http://schemas.openxmlformats.org/officeDocument/2006/relationships/customXml" Target="../customXml/item4.xml"/><Relationship Id="rId9" Type="http://schemas.openxmlformats.org/officeDocument/2006/relationships/hyperlink" Target="https://consult.dcceew.gov.au/reform-of-packaging-regulation/new-survey?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A614DE27A9B40B1FDF1ED1581DD76" ma:contentTypeVersion="18" ma:contentTypeDescription="Create a new document." ma:contentTypeScope="" ma:versionID="4c31a2d4978254c3d9ebf126779e69e8">
  <xsd:schema xmlns:xsd="http://www.w3.org/2001/XMLSchema" xmlns:xs="http://www.w3.org/2001/XMLSchema" xmlns:p="http://schemas.microsoft.com/office/2006/metadata/properties" xmlns:ns2="37656e80-9ed3-4dc5-9a5d-e7f55e86b981" xmlns:ns3="52d8db27-1e1f-448c-9d0d-6beff1c5b978" targetNamespace="http://schemas.microsoft.com/office/2006/metadata/properties" ma:root="true" ma:fieldsID="f0409618b6b5da0f9299f2026a09f468" ns2:_="" ns3:_="">
    <xsd:import namespace="37656e80-9ed3-4dc5-9a5d-e7f55e86b981"/>
    <xsd:import namespace="52d8db27-1e1f-448c-9d0d-6beff1c5b9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56e80-9ed3-4dc5-9a5d-e7f55e86b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02b5a1-8f3d-4c0f-b50c-556179a4db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8db27-1e1f-448c-9d0d-6beff1c5b9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726226-100a-4ea8-88e9-aeb32d695129}" ma:internalName="TaxCatchAll" ma:showField="CatchAllData" ma:web="52d8db27-1e1f-448c-9d0d-6beff1c5b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d8db27-1e1f-448c-9d0d-6beff1c5b978" xsi:nil="true"/>
    <lcf76f155ced4ddcb4097134ff3c332f xmlns="37656e80-9ed3-4dc5-9a5d-e7f55e86b98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A59BE-DD9E-43B8-B8F0-B8A07A682E13}">
  <ds:schemaRefs>
    <ds:schemaRef ds:uri="http://schemas.microsoft.com/sharepoint/v3/contenttype/forms"/>
  </ds:schemaRefs>
</ds:datastoreItem>
</file>

<file path=customXml/itemProps2.xml><?xml version="1.0" encoding="utf-8"?>
<ds:datastoreItem xmlns:ds="http://schemas.openxmlformats.org/officeDocument/2006/customXml" ds:itemID="{1C7B4D83-9565-4B5D-8E7D-8D7F03BF2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56e80-9ed3-4dc5-9a5d-e7f55e86b981"/>
    <ds:schemaRef ds:uri="52d8db27-1e1f-448c-9d0d-6beff1c5b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FC51F-80AB-4464-AC63-D71F48526236}">
  <ds:schemaRefs>
    <ds:schemaRef ds:uri="http://schemas.microsoft.com/office/2006/metadata/properties"/>
    <ds:schemaRef ds:uri="http://schemas.microsoft.com/office/infopath/2007/PartnerControls"/>
    <ds:schemaRef ds:uri="52d8db27-1e1f-448c-9d0d-6beff1c5b978"/>
    <ds:schemaRef ds:uri="37656e80-9ed3-4dc5-9a5d-e7f55e86b981"/>
  </ds:schemaRefs>
</ds:datastoreItem>
</file>

<file path=customXml/itemProps4.xml><?xml version="1.0" encoding="utf-8"?>
<ds:datastoreItem xmlns:ds="http://schemas.openxmlformats.org/officeDocument/2006/customXml" ds:itemID="{4875B008-1CDF-4367-9E85-69F4D7D6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1432</Words>
  <Characters>8524</Characters>
  <Application>Microsoft Office Word</Application>
  <DocSecurity>0</DocSecurity>
  <Lines>213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Links>
    <vt:vector size="24" baseType="variant">
      <vt:variant>
        <vt:i4>5373960</vt:i4>
      </vt:variant>
      <vt:variant>
        <vt:i4>9</vt:i4>
      </vt:variant>
      <vt:variant>
        <vt:i4>0</vt:i4>
      </vt:variant>
      <vt:variant>
        <vt:i4>5</vt:i4>
      </vt:variant>
      <vt:variant>
        <vt:lpwstr>chrome-extension://efaidnbmnnnibpcajpcglclefindmkaj/https:/www.theconsumergoodsforum.com/wp-content/uploads/2023/05/Building-a-Circular-Economy-for-Packaging-April-2023.pdf</vt:lpwstr>
      </vt:variant>
      <vt:variant>
        <vt:lpwstr/>
      </vt:variant>
      <vt:variant>
        <vt:i4>5767188</vt:i4>
      </vt:variant>
      <vt:variant>
        <vt:i4>6</vt:i4>
      </vt:variant>
      <vt:variant>
        <vt:i4>0</vt:i4>
      </vt:variant>
      <vt:variant>
        <vt:i4>5</vt:i4>
      </vt:variant>
      <vt:variant>
        <vt:lpwstr>https://expra.eu/beliefs/</vt:lpwstr>
      </vt:variant>
      <vt:variant>
        <vt:lpwstr/>
      </vt:variant>
      <vt:variant>
        <vt:i4>65646</vt:i4>
      </vt:variant>
      <vt:variant>
        <vt:i4>3</vt:i4>
      </vt:variant>
      <vt:variant>
        <vt:i4>0</vt:i4>
      </vt:variant>
      <vt:variant>
        <vt:i4>5</vt:i4>
      </vt:variant>
      <vt:variant>
        <vt:lpwstr>mailto:PackagingReform@dcceew.gov.au</vt:lpwstr>
      </vt:variant>
      <vt:variant>
        <vt:lpwstr/>
      </vt:variant>
      <vt:variant>
        <vt:i4>7012400</vt:i4>
      </vt:variant>
      <vt:variant>
        <vt:i4>0</vt:i4>
      </vt:variant>
      <vt:variant>
        <vt:i4>0</vt:i4>
      </vt:variant>
      <vt:variant>
        <vt:i4>5</vt:i4>
      </vt:variant>
      <vt:variant>
        <vt:lpwstr>https://consult.dcceew.gov.au/reform-of-packaging-regulation/new-survey?page=1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Barber</dc:creator>
  <cp:keywords/>
  <dc:description/>
  <cp:lastModifiedBy>Sarah Collier</cp:lastModifiedBy>
  <cp:revision>165</cp:revision>
  <cp:lastPrinted>2024-10-23T11:29:00Z</cp:lastPrinted>
  <dcterms:created xsi:type="dcterms:W3CDTF">2024-10-22T01:32:00Z</dcterms:created>
  <dcterms:modified xsi:type="dcterms:W3CDTF">2024-10-22T04:04:00Z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0x010100C41A614DE27A9B40B1FDF1ED1581DD76</vt:lpwstr>
  </property>
  <property fmtid="{D5CDD505-2E9C-101B-9397-08002B2CF9AE}" pid="3" name="MediaServiceImageTags">
    <vt:lpwstr/>
  </property>
</Properties>
</file>